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30" w:rsidRDefault="00A96425" w:rsidP="00A96425">
      <w:pPr>
        <w:jc w:val="center"/>
        <w:rPr>
          <w:b/>
          <w:sz w:val="32"/>
          <w:szCs w:val="32"/>
          <w:u w:val="single"/>
        </w:rPr>
      </w:pPr>
      <w:r w:rsidRPr="00A96425">
        <w:rPr>
          <w:b/>
          <w:sz w:val="32"/>
          <w:szCs w:val="32"/>
          <w:u w:val="single"/>
        </w:rPr>
        <w:t>FIRE SERVICE CHARGES AND FEES</w:t>
      </w:r>
    </w:p>
    <w:p w:rsidR="00C058FA" w:rsidRPr="00C058FA" w:rsidRDefault="00C058FA" w:rsidP="00C058FA">
      <w:pPr>
        <w:pStyle w:val="NoSpacing"/>
        <w:jc w:val="center"/>
        <w:rPr>
          <w:b/>
        </w:rPr>
      </w:pPr>
      <w:r w:rsidRPr="00C058FA">
        <w:rPr>
          <w:b/>
        </w:rPr>
        <w:t>It is important that the people have adequate Fire Brigade Call out insurance cover on their houses, cars and business premises.</w:t>
      </w:r>
    </w:p>
    <w:p w:rsidR="00484AA2" w:rsidRDefault="00484AA2" w:rsidP="00C058FA">
      <w:pPr>
        <w:pStyle w:val="NoSpacing"/>
        <w:jc w:val="center"/>
      </w:pPr>
      <w:r>
        <w:t>The Fire Service charges for the service it provides.  Fire charges are an important element in financing the Fire Service as they help fund the cost of providing the service.</w:t>
      </w:r>
    </w:p>
    <w:p w:rsidR="00484AA2" w:rsidRDefault="00484AA2" w:rsidP="00C058FA">
      <w:pPr>
        <w:pStyle w:val="NoSpacing"/>
        <w:jc w:val="center"/>
      </w:pPr>
    </w:p>
    <w:p w:rsidR="00A96425" w:rsidRDefault="00206DDE" w:rsidP="00C058FA">
      <w:pPr>
        <w:ind w:left="360"/>
        <w:jc w:val="center"/>
      </w:pPr>
      <w:r>
        <w:t>Pursuant to Section 35(3) of the Fire Services Act 1981 and 2003 and the provisions of the Local Government (Financial Provisions</w:t>
      </w:r>
      <w:proofErr w:type="gramStart"/>
      <w:r>
        <w:t>)(</w:t>
      </w:r>
      <w:proofErr w:type="gramEnd"/>
      <w:r>
        <w:t>No. 2) Act, 1983 and the Local Government Financial Provisions Act, 2000, the following Fire Service charges will be levied</w:t>
      </w:r>
      <w:r w:rsidR="005F07FB">
        <w:t xml:space="preserve"> </w:t>
      </w:r>
      <w:r w:rsidR="00A96425">
        <w:t xml:space="preserve">by Kilkenny </w:t>
      </w:r>
      <w:r w:rsidR="005F07FB">
        <w:t>County Council</w:t>
      </w:r>
      <w:r w:rsidR="00A96425">
        <w:t>.</w:t>
      </w:r>
    </w:p>
    <w:p w:rsidR="00A96425" w:rsidRDefault="00A96425" w:rsidP="00A96425">
      <w:pPr>
        <w:pStyle w:val="NoSpacing"/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5675"/>
      </w:tblGrid>
      <w:tr w:rsidR="00A96425" w:rsidTr="00A96425">
        <w:tc>
          <w:tcPr>
            <w:tcW w:w="3080" w:type="dxa"/>
          </w:tcPr>
          <w:p w:rsidR="00A96425" w:rsidRPr="00772C91" w:rsidRDefault="00A96425" w:rsidP="00A96425">
            <w:pPr>
              <w:pStyle w:val="NoSpacing"/>
              <w:jc w:val="center"/>
              <w:rPr>
                <w:b/>
              </w:rPr>
            </w:pPr>
            <w:r w:rsidRPr="00772C91">
              <w:rPr>
                <w:b/>
              </w:rPr>
              <w:t>Fire Service Charges and Fees</w:t>
            </w:r>
          </w:p>
        </w:tc>
        <w:tc>
          <w:tcPr>
            <w:tcW w:w="5675" w:type="dxa"/>
          </w:tcPr>
          <w:p w:rsidR="00A96425" w:rsidRPr="00772C91" w:rsidRDefault="00A96425" w:rsidP="00772C91">
            <w:pPr>
              <w:pStyle w:val="NoSpacing"/>
              <w:rPr>
                <w:b/>
              </w:rPr>
            </w:pPr>
            <w:r w:rsidRPr="00772C91">
              <w:rPr>
                <w:b/>
              </w:rPr>
              <w:t>Charge</w:t>
            </w:r>
          </w:p>
        </w:tc>
      </w:tr>
      <w:tr w:rsidR="00A96425" w:rsidTr="00A96425">
        <w:tc>
          <w:tcPr>
            <w:tcW w:w="3080" w:type="dxa"/>
          </w:tcPr>
          <w:p w:rsidR="00A96425" w:rsidRDefault="00A96425" w:rsidP="00A96425">
            <w:pPr>
              <w:pStyle w:val="NoSpacing"/>
              <w:jc w:val="center"/>
            </w:pPr>
          </w:p>
        </w:tc>
        <w:tc>
          <w:tcPr>
            <w:tcW w:w="5675" w:type="dxa"/>
          </w:tcPr>
          <w:p w:rsidR="00A96425" w:rsidRDefault="00A96425" w:rsidP="00A96425">
            <w:pPr>
              <w:pStyle w:val="NoSpacing"/>
              <w:jc w:val="center"/>
            </w:pPr>
          </w:p>
        </w:tc>
      </w:tr>
      <w:tr w:rsidR="00A96425" w:rsidTr="00A96425">
        <w:tc>
          <w:tcPr>
            <w:tcW w:w="3080" w:type="dxa"/>
          </w:tcPr>
          <w:p w:rsidR="00A96425" w:rsidRDefault="00A96425" w:rsidP="00A96425">
            <w:pPr>
              <w:pStyle w:val="NoSpacing"/>
            </w:pPr>
            <w:r>
              <w:t>Commercial Fire</w:t>
            </w:r>
          </w:p>
        </w:tc>
        <w:tc>
          <w:tcPr>
            <w:tcW w:w="5675" w:type="dxa"/>
          </w:tcPr>
          <w:p w:rsidR="00A96425" w:rsidRDefault="00A96425" w:rsidP="00A96425">
            <w:pPr>
              <w:pStyle w:val="NoSpacing"/>
            </w:pPr>
            <w:r>
              <w:t>€70.00 per firefighter per hour</w:t>
            </w:r>
            <w:r w:rsidR="00772C91">
              <w:t xml:space="preserve"> to the nearest quarter</w:t>
            </w:r>
          </w:p>
        </w:tc>
      </w:tr>
      <w:tr w:rsidR="00A96425" w:rsidTr="00A96425">
        <w:tc>
          <w:tcPr>
            <w:tcW w:w="3080" w:type="dxa"/>
          </w:tcPr>
          <w:p w:rsidR="00A96425" w:rsidRDefault="00A96425" w:rsidP="00A96425">
            <w:pPr>
              <w:pStyle w:val="NoSpacing"/>
            </w:pPr>
            <w:r>
              <w:t>Road Traffic C</w:t>
            </w:r>
            <w:r w:rsidR="00206DDE">
              <w:t>ollision</w:t>
            </w:r>
          </w:p>
        </w:tc>
        <w:tc>
          <w:tcPr>
            <w:tcW w:w="5675" w:type="dxa"/>
          </w:tcPr>
          <w:p w:rsidR="00A96425" w:rsidRDefault="00A96425" w:rsidP="00A96425">
            <w:pPr>
              <w:pStyle w:val="NoSpacing"/>
            </w:pPr>
            <w:r>
              <w:t>As per Commercial Fire but capped at €2,000, divided between the parties involved</w:t>
            </w:r>
          </w:p>
        </w:tc>
      </w:tr>
      <w:tr w:rsidR="00A96425" w:rsidTr="00A96425">
        <w:tc>
          <w:tcPr>
            <w:tcW w:w="3080" w:type="dxa"/>
          </w:tcPr>
          <w:p w:rsidR="00A96425" w:rsidRDefault="00772C91" w:rsidP="00A96425">
            <w:pPr>
              <w:pStyle w:val="NoSpacing"/>
            </w:pPr>
            <w:r>
              <w:t>Domestic Fires</w:t>
            </w:r>
          </w:p>
        </w:tc>
        <w:tc>
          <w:tcPr>
            <w:tcW w:w="5675" w:type="dxa"/>
          </w:tcPr>
          <w:p w:rsidR="00A96425" w:rsidRDefault="00772C91" w:rsidP="00A96425">
            <w:pPr>
              <w:pStyle w:val="NoSpacing"/>
            </w:pPr>
            <w:r>
              <w:t>As per Commercial Fire but capped at €2,000</w:t>
            </w:r>
          </w:p>
        </w:tc>
      </w:tr>
      <w:tr w:rsidR="00A96425" w:rsidTr="00A96425">
        <w:tc>
          <w:tcPr>
            <w:tcW w:w="3080" w:type="dxa"/>
          </w:tcPr>
          <w:p w:rsidR="00A96425" w:rsidRDefault="00772C91" w:rsidP="00A96425">
            <w:pPr>
              <w:pStyle w:val="NoSpacing"/>
            </w:pPr>
            <w:r>
              <w:t>Haybarn Fires</w:t>
            </w:r>
          </w:p>
        </w:tc>
        <w:tc>
          <w:tcPr>
            <w:tcW w:w="5675" w:type="dxa"/>
          </w:tcPr>
          <w:p w:rsidR="00A96425" w:rsidRDefault="00772C91" w:rsidP="00A96425">
            <w:pPr>
              <w:pStyle w:val="NoSpacing"/>
            </w:pPr>
            <w:r>
              <w:t>As per Commercial but capped at €5,500</w:t>
            </w:r>
          </w:p>
        </w:tc>
      </w:tr>
      <w:tr w:rsidR="00A96425" w:rsidTr="00A96425">
        <w:trPr>
          <w:trHeight w:val="296"/>
        </w:trPr>
        <w:tc>
          <w:tcPr>
            <w:tcW w:w="3080" w:type="dxa"/>
          </w:tcPr>
          <w:p w:rsidR="00A96425" w:rsidRDefault="00772C91" w:rsidP="00A96425">
            <w:pPr>
              <w:pStyle w:val="NoSpacing"/>
            </w:pPr>
            <w:r>
              <w:t>Chimney Fires</w:t>
            </w:r>
          </w:p>
        </w:tc>
        <w:tc>
          <w:tcPr>
            <w:tcW w:w="5675" w:type="dxa"/>
          </w:tcPr>
          <w:p w:rsidR="00A96425" w:rsidRDefault="00772C91" w:rsidP="00772C91">
            <w:pPr>
              <w:pStyle w:val="NoSpacing"/>
            </w:pPr>
            <w:r>
              <w:t>€360 flat rate</w:t>
            </w:r>
          </w:p>
        </w:tc>
      </w:tr>
      <w:tr w:rsidR="00A96425" w:rsidTr="00A96425">
        <w:tc>
          <w:tcPr>
            <w:tcW w:w="3080" w:type="dxa"/>
          </w:tcPr>
          <w:p w:rsidR="00A96425" w:rsidRDefault="00772C91" w:rsidP="00772C91">
            <w:pPr>
              <w:pStyle w:val="NoSpacing"/>
            </w:pPr>
            <w:r>
              <w:t>Alarm Activations</w:t>
            </w:r>
          </w:p>
        </w:tc>
        <w:tc>
          <w:tcPr>
            <w:tcW w:w="5675" w:type="dxa"/>
          </w:tcPr>
          <w:p w:rsidR="00A96425" w:rsidRDefault="00772C91" w:rsidP="00772C91">
            <w:pPr>
              <w:pStyle w:val="NoSpacing"/>
            </w:pPr>
            <w:r>
              <w:t>As per Commercial Fire with flat rate of €200 for mobilisation if no service provided</w:t>
            </w:r>
          </w:p>
        </w:tc>
      </w:tr>
      <w:tr w:rsidR="00A96425" w:rsidTr="00A96425">
        <w:tc>
          <w:tcPr>
            <w:tcW w:w="3080" w:type="dxa"/>
          </w:tcPr>
          <w:p w:rsidR="00A96425" w:rsidRDefault="00772C91" w:rsidP="00772C91">
            <w:pPr>
              <w:pStyle w:val="NoSpacing"/>
            </w:pPr>
            <w:r>
              <w:t>Trees/Poles Down</w:t>
            </w:r>
          </w:p>
        </w:tc>
        <w:tc>
          <w:tcPr>
            <w:tcW w:w="5675" w:type="dxa"/>
          </w:tcPr>
          <w:p w:rsidR="00A96425" w:rsidRDefault="00772C91" w:rsidP="00772C91">
            <w:pPr>
              <w:pStyle w:val="NoSpacing"/>
            </w:pPr>
            <w:r>
              <w:t>As per Commercial Fire if landowner known</w:t>
            </w:r>
          </w:p>
        </w:tc>
      </w:tr>
      <w:tr w:rsidR="00A96425" w:rsidTr="00A96425">
        <w:tc>
          <w:tcPr>
            <w:tcW w:w="3080" w:type="dxa"/>
          </w:tcPr>
          <w:p w:rsidR="00A96425" w:rsidRDefault="00772C91" w:rsidP="00772C91">
            <w:pPr>
              <w:pStyle w:val="NoSpacing"/>
            </w:pPr>
            <w:r>
              <w:t xml:space="preserve">Flooding </w:t>
            </w:r>
          </w:p>
        </w:tc>
        <w:tc>
          <w:tcPr>
            <w:tcW w:w="5675" w:type="dxa"/>
          </w:tcPr>
          <w:p w:rsidR="00A96425" w:rsidRDefault="00772C91" w:rsidP="00772C91">
            <w:pPr>
              <w:pStyle w:val="NoSpacing"/>
            </w:pPr>
            <w:r>
              <w:t>As per Commercial Fire if localised</w:t>
            </w:r>
          </w:p>
        </w:tc>
      </w:tr>
    </w:tbl>
    <w:p w:rsidR="00A96425" w:rsidRDefault="00A96425" w:rsidP="00772C91">
      <w:pPr>
        <w:rPr>
          <w:sz w:val="28"/>
          <w:szCs w:val="28"/>
        </w:rPr>
      </w:pPr>
    </w:p>
    <w:p w:rsidR="00772C91" w:rsidRDefault="00772C91" w:rsidP="007F77BD">
      <w:pPr>
        <w:pStyle w:val="ListParagraph"/>
        <w:numPr>
          <w:ilvl w:val="0"/>
          <w:numId w:val="1"/>
        </w:numPr>
      </w:pPr>
      <w:r>
        <w:t>A waiver will apply to persons in receipt of the Old Age Pension/Social Welfare (or equivalent), with a reduction to an amount of €150.00.</w:t>
      </w:r>
    </w:p>
    <w:p w:rsidR="00712ACF" w:rsidRDefault="00712ACF" w:rsidP="007F77BD">
      <w:pPr>
        <w:pStyle w:val="ListParagraph"/>
        <w:numPr>
          <w:ilvl w:val="0"/>
          <w:numId w:val="6"/>
        </w:numPr>
      </w:pPr>
      <w:r>
        <w:t>Fire charges will be levied against the beneficial owner of the property where the incident occurs</w:t>
      </w:r>
    </w:p>
    <w:p w:rsidR="00C058FA" w:rsidRDefault="00712ACF" w:rsidP="007F77BD">
      <w:pPr>
        <w:pStyle w:val="ListParagraph"/>
        <w:numPr>
          <w:ilvl w:val="0"/>
          <w:numId w:val="6"/>
        </w:numPr>
      </w:pPr>
      <w:r>
        <w:t>Fire c</w:t>
      </w:r>
      <w:r w:rsidR="007F77BD">
        <w:t>harges will not be levied where</w:t>
      </w:r>
      <w:r>
        <w:t xml:space="preserve"> fa</w:t>
      </w:r>
      <w:r w:rsidR="00C058FA">
        <w:t>tality has occurred in the fire</w:t>
      </w:r>
    </w:p>
    <w:p w:rsidR="008309C3" w:rsidRDefault="008309C3" w:rsidP="007F77BD">
      <w:pPr>
        <w:pStyle w:val="ListParagraph"/>
        <w:numPr>
          <w:ilvl w:val="0"/>
          <w:numId w:val="6"/>
        </w:numPr>
      </w:pPr>
      <w:r>
        <w:t>Bogus calls (charge to caller where caller is identified) – the charge will be in accordance with the type of incident and time involved</w:t>
      </w:r>
    </w:p>
    <w:p w:rsidR="008309C3" w:rsidRDefault="008309C3" w:rsidP="007F77BD">
      <w:pPr>
        <w:pStyle w:val="ListParagraph"/>
        <w:numPr>
          <w:ilvl w:val="0"/>
          <w:numId w:val="6"/>
        </w:numPr>
      </w:pPr>
      <w:r>
        <w:t>Fire Brigade attendance where service is not requ</w:t>
      </w:r>
      <w:r w:rsidR="00484AA2">
        <w:t>ired and the call is</w:t>
      </w:r>
      <w:r w:rsidR="005D73F5">
        <w:t xml:space="preserve"> cancelled o</w:t>
      </w:r>
      <w:r>
        <w:t>n route to the incident (except in cases of commercial activated fire alarms</w:t>
      </w:r>
      <w:r w:rsidR="005D73F5">
        <w:t>) – no charge</w:t>
      </w:r>
    </w:p>
    <w:sectPr w:rsidR="008309C3" w:rsidSect="00210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2DFE"/>
    <w:multiLevelType w:val="hybridMultilevel"/>
    <w:tmpl w:val="64E89364"/>
    <w:lvl w:ilvl="0" w:tplc="1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D64819"/>
    <w:multiLevelType w:val="hybridMultilevel"/>
    <w:tmpl w:val="94286BCA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8A380A"/>
    <w:multiLevelType w:val="hybridMultilevel"/>
    <w:tmpl w:val="42A8A512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A70B0F"/>
    <w:multiLevelType w:val="hybridMultilevel"/>
    <w:tmpl w:val="2F7E62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67465"/>
    <w:multiLevelType w:val="hybridMultilevel"/>
    <w:tmpl w:val="3CFAB8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72F64"/>
    <w:multiLevelType w:val="hybridMultilevel"/>
    <w:tmpl w:val="B7CEC9B8"/>
    <w:lvl w:ilvl="0" w:tplc="1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425"/>
    <w:rsid w:val="00146A57"/>
    <w:rsid w:val="001F1B2C"/>
    <w:rsid w:val="00206DDE"/>
    <w:rsid w:val="00210030"/>
    <w:rsid w:val="003D7CB5"/>
    <w:rsid w:val="003F525B"/>
    <w:rsid w:val="0044313B"/>
    <w:rsid w:val="00484AA2"/>
    <w:rsid w:val="005D73F5"/>
    <w:rsid w:val="005F07FB"/>
    <w:rsid w:val="00712ACF"/>
    <w:rsid w:val="00772C91"/>
    <w:rsid w:val="007F77BD"/>
    <w:rsid w:val="008309C3"/>
    <w:rsid w:val="008318E8"/>
    <w:rsid w:val="00956EEF"/>
    <w:rsid w:val="00A96425"/>
    <w:rsid w:val="00AE23A4"/>
    <w:rsid w:val="00C058FA"/>
    <w:rsid w:val="00DE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3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425"/>
    <w:pPr>
      <w:spacing w:after="0" w:line="240" w:lineRule="auto"/>
    </w:pPr>
  </w:style>
  <w:style w:type="table" w:styleId="TableGrid">
    <w:name w:val="Table Grid"/>
    <w:basedOn w:val="TableNormal"/>
    <w:uiPriority w:val="59"/>
    <w:rsid w:val="00A96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72C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12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2018-12-21T12:45:00Z</dcterms:created>
  <dcterms:modified xsi:type="dcterms:W3CDTF">2018-12-21T13:15:00Z</dcterms:modified>
</cp:coreProperties>
</file>