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939" w:rsidRPr="00A2592D" w:rsidRDefault="007C64D3" w:rsidP="003F6E1E">
      <w:pPr>
        <w:spacing w:after="0"/>
        <w:jc w:val="center"/>
        <w:rPr>
          <w:rFonts w:cs="Times New Roman"/>
          <w:b/>
          <w:sz w:val="28"/>
          <w:szCs w:val="28"/>
        </w:rPr>
      </w:pPr>
      <w:r w:rsidRPr="00A2592D">
        <w:rPr>
          <w:rFonts w:cs="Times New Roman"/>
          <w:b/>
          <w:sz w:val="28"/>
          <w:szCs w:val="28"/>
        </w:rPr>
        <w:t>Private Rented Inspections</w:t>
      </w:r>
    </w:p>
    <w:p w:rsidR="00D21363" w:rsidRPr="00A2592D" w:rsidRDefault="00D21363" w:rsidP="003F6E1E">
      <w:pPr>
        <w:spacing w:after="0"/>
        <w:jc w:val="center"/>
        <w:rPr>
          <w:rFonts w:cs="Times New Roman"/>
          <w:b/>
          <w:sz w:val="28"/>
          <w:szCs w:val="28"/>
        </w:rPr>
      </w:pPr>
      <w:r w:rsidRPr="00A2592D">
        <w:rPr>
          <w:rFonts w:cs="Times New Roman"/>
          <w:b/>
          <w:sz w:val="28"/>
          <w:szCs w:val="28"/>
        </w:rPr>
        <w:t>Strategic Plan 201</w:t>
      </w:r>
      <w:r w:rsidR="00AB5F73" w:rsidRPr="00A2592D">
        <w:rPr>
          <w:rFonts w:cs="Times New Roman"/>
          <w:b/>
          <w:sz w:val="28"/>
          <w:szCs w:val="28"/>
        </w:rPr>
        <w:t>8</w:t>
      </w:r>
      <w:r w:rsidRPr="00A2592D">
        <w:rPr>
          <w:rFonts w:cs="Times New Roman"/>
          <w:b/>
          <w:sz w:val="28"/>
          <w:szCs w:val="28"/>
        </w:rPr>
        <w:t xml:space="preserve"> - 20</w:t>
      </w:r>
      <w:r w:rsidR="00AB5F73" w:rsidRPr="00A2592D">
        <w:rPr>
          <w:rFonts w:cs="Times New Roman"/>
          <w:b/>
          <w:sz w:val="28"/>
          <w:szCs w:val="28"/>
        </w:rPr>
        <w:t>20</w:t>
      </w:r>
    </w:p>
    <w:p w:rsidR="007C64D3" w:rsidRPr="00A2592D" w:rsidRDefault="007C64D3" w:rsidP="007C64D3">
      <w:pPr>
        <w:spacing w:after="0"/>
        <w:rPr>
          <w:rFonts w:cs="Times New Roman"/>
          <w:sz w:val="24"/>
          <w:szCs w:val="24"/>
        </w:rPr>
      </w:pPr>
    </w:p>
    <w:p w:rsidR="007C64D3" w:rsidRPr="00A2592D" w:rsidRDefault="007C64D3" w:rsidP="007C64D3">
      <w:pPr>
        <w:spacing w:after="0"/>
        <w:rPr>
          <w:rFonts w:cs="Arial"/>
          <w:b/>
          <w:sz w:val="24"/>
          <w:szCs w:val="24"/>
        </w:rPr>
      </w:pPr>
      <w:r w:rsidRPr="00A2592D">
        <w:rPr>
          <w:rFonts w:cs="Arial"/>
          <w:b/>
          <w:sz w:val="24"/>
          <w:szCs w:val="24"/>
        </w:rPr>
        <w:t>Legislation:</w:t>
      </w:r>
    </w:p>
    <w:p w:rsidR="007C64D3" w:rsidRPr="00A2592D" w:rsidRDefault="007C64D3" w:rsidP="007C64D3">
      <w:pPr>
        <w:spacing w:after="0"/>
        <w:rPr>
          <w:rFonts w:cs="Arial"/>
          <w:sz w:val="24"/>
          <w:szCs w:val="24"/>
        </w:rPr>
      </w:pPr>
      <w:r w:rsidRPr="00A2592D">
        <w:rPr>
          <w:rFonts w:cs="Arial"/>
          <w:sz w:val="24"/>
          <w:szCs w:val="24"/>
        </w:rPr>
        <w:t>Housing Acts 1966 – 2009</w:t>
      </w:r>
      <w:r w:rsidR="00922AD9" w:rsidRPr="00A2592D">
        <w:rPr>
          <w:rFonts w:cs="Arial"/>
          <w:sz w:val="24"/>
          <w:szCs w:val="24"/>
        </w:rPr>
        <w:t>,</w:t>
      </w:r>
      <w:r w:rsidR="008319D0" w:rsidRPr="00A2592D">
        <w:rPr>
          <w:rFonts w:cs="Arial"/>
          <w:sz w:val="24"/>
          <w:szCs w:val="24"/>
        </w:rPr>
        <w:t xml:space="preserve"> Strategy for the Private Rental Sector </w:t>
      </w:r>
    </w:p>
    <w:p w:rsidR="007C64D3" w:rsidRPr="00A2592D" w:rsidRDefault="007C64D3" w:rsidP="007C64D3">
      <w:pPr>
        <w:spacing w:after="0"/>
        <w:rPr>
          <w:rFonts w:cs="Arial"/>
          <w:sz w:val="24"/>
          <w:szCs w:val="24"/>
        </w:rPr>
      </w:pPr>
      <w:r w:rsidRPr="00A2592D">
        <w:rPr>
          <w:rFonts w:cs="Arial"/>
          <w:sz w:val="24"/>
          <w:szCs w:val="24"/>
        </w:rPr>
        <w:t>Housing (Standards for Rented Houses) Regulations 2008</w:t>
      </w:r>
      <w:r w:rsidR="00922AD9" w:rsidRPr="00A2592D">
        <w:rPr>
          <w:rFonts w:cs="Arial"/>
          <w:sz w:val="24"/>
          <w:szCs w:val="24"/>
        </w:rPr>
        <w:t>,</w:t>
      </w:r>
    </w:p>
    <w:p w:rsidR="007C64D3" w:rsidRPr="00A2592D" w:rsidRDefault="007C64D3" w:rsidP="007C64D3">
      <w:pPr>
        <w:spacing w:after="0"/>
        <w:rPr>
          <w:rFonts w:cs="Arial"/>
          <w:sz w:val="24"/>
          <w:szCs w:val="24"/>
        </w:rPr>
      </w:pPr>
      <w:r w:rsidRPr="00A2592D">
        <w:rPr>
          <w:rFonts w:cs="Arial"/>
          <w:sz w:val="24"/>
          <w:szCs w:val="24"/>
        </w:rPr>
        <w:t>Housing (Standards for Rented Houses</w:t>
      </w:r>
      <w:proofErr w:type="gramStart"/>
      <w:r w:rsidRPr="00A2592D">
        <w:rPr>
          <w:rFonts w:cs="Arial"/>
          <w:sz w:val="24"/>
          <w:szCs w:val="24"/>
        </w:rPr>
        <w:t>)(</w:t>
      </w:r>
      <w:proofErr w:type="gramEnd"/>
      <w:r w:rsidRPr="00A2592D">
        <w:rPr>
          <w:rFonts w:cs="Arial"/>
          <w:sz w:val="24"/>
          <w:szCs w:val="24"/>
        </w:rPr>
        <w:t>Amendment) Regulations 2009</w:t>
      </w:r>
      <w:r w:rsidR="00922AD9" w:rsidRPr="00A2592D">
        <w:rPr>
          <w:rFonts w:cs="Arial"/>
          <w:sz w:val="24"/>
          <w:szCs w:val="24"/>
        </w:rPr>
        <w:t>,</w:t>
      </w:r>
    </w:p>
    <w:p w:rsidR="00922AD9" w:rsidRPr="00A2592D" w:rsidRDefault="00922AD9" w:rsidP="007C64D3">
      <w:pPr>
        <w:spacing w:after="0"/>
        <w:rPr>
          <w:rFonts w:cs="Arial"/>
          <w:sz w:val="24"/>
          <w:szCs w:val="24"/>
        </w:rPr>
      </w:pPr>
      <w:r w:rsidRPr="00A2592D">
        <w:rPr>
          <w:rFonts w:cs="Arial"/>
          <w:sz w:val="24"/>
          <w:szCs w:val="24"/>
        </w:rPr>
        <w:t>Guidelines for Housing Authorities in the Implementation of Minimum Standards in Rented Accommodation</w:t>
      </w:r>
      <w:r w:rsidR="008319D0" w:rsidRPr="00A2592D">
        <w:rPr>
          <w:rFonts w:cs="Arial"/>
          <w:sz w:val="24"/>
          <w:szCs w:val="24"/>
        </w:rPr>
        <w:t xml:space="preserve"> 2017</w:t>
      </w:r>
    </w:p>
    <w:p w:rsidR="00B70C7A" w:rsidRPr="00A2592D" w:rsidRDefault="00B70C7A" w:rsidP="007C64D3">
      <w:pPr>
        <w:spacing w:after="0"/>
        <w:rPr>
          <w:rFonts w:cs="Arial"/>
          <w:sz w:val="24"/>
          <w:szCs w:val="24"/>
        </w:rPr>
      </w:pPr>
      <w:r w:rsidRPr="00A2592D">
        <w:rPr>
          <w:rFonts w:cs="Arial"/>
          <w:sz w:val="24"/>
          <w:szCs w:val="24"/>
        </w:rPr>
        <w:t>Housing (Miscellaneous Provisions) Act 1992</w:t>
      </w:r>
    </w:p>
    <w:p w:rsidR="007C64D3" w:rsidRPr="00A2592D" w:rsidRDefault="00FB554C" w:rsidP="007C64D3">
      <w:pPr>
        <w:spacing w:after="0"/>
        <w:rPr>
          <w:rFonts w:cs="Arial"/>
          <w:sz w:val="24"/>
          <w:szCs w:val="24"/>
        </w:rPr>
      </w:pPr>
      <w:r w:rsidRPr="00A2592D">
        <w:rPr>
          <w:rFonts w:cs="Arial"/>
          <w:sz w:val="24"/>
          <w:szCs w:val="24"/>
        </w:rPr>
        <w:t>Housing (</w:t>
      </w:r>
      <w:r w:rsidR="007C64D3" w:rsidRPr="00A2592D">
        <w:rPr>
          <w:rFonts w:cs="Arial"/>
          <w:sz w:val="24"/>
          <w:szCs w:val="24"/>
        </w:rPr>
        <w:t>Standards for Rented Houses) Regulations 1993</w:t>
      </w:r>
    </w:p>
    <w:p w:rsidR="007C64D3" w:rsidRPr="00A2592D" w:rsidRDefault="007C64D3" w:rsidP="007C64D3">
      <w:pPr>
        <w:spacing w:after="0"/>
        <w:rPr>
          <w:rFonts w:cs="Arial"/>
          <w:sz w:val="24"/>
          <w:szCs w:val="24"/>
        </w:rPr>
      </w:pPr>
      <w:r w:rsidRPr="00A2592D">
        <w:rPr>
          <w:rFonts w:cs="Arial"/>
          <w:sz w:val="24"/>
          <w:szCs w:val="24"/>
        </w:rPr>
        <w:t>Housing (Rent Books) Regulations 1993</w:t>
      </w:r>
    </w:p>
    <w:p w:rsidR="00FB554C" w:rsidRPr="00A2592D" w:rsidRDefault="00FB554C" w:rsidP="00FB554C">
      <w:pPr>
        <w:spacing w:after="0"/>
        <w:rPr>
          <w:rFonts w:cs="Arial"/>
          <w:sz w:val="24"/>
          <w:szCs w:val="24"/>
        </w:rPr>
      </w:pPr>
      <w:r w:rsidRPr="00A2592D">
        <w:rPr>
          <w:rFonts w:cs="Arial"/>
          <w:sz w:val="24"/>
          <w:szCs w:val="24"/>
        </w:rPr>
        <w:t>Housing (Rent Books) Regulations 1993 (Amendment) Regulations 2004</w:t>
      </w:r>
    </w:p>
    <w:p w:rsidR="00FB554C" w:rsidRPr="00A2592D" w:rsidRDefault="00FB554C" w:rsidP="00FB554C">
      <w:pPr>
        <w:spacing w:after="0"/>
        <w:rPr>
          <w:rFonts w:cs="Arial"/>
          <w:sz w:val="24"/>
          <w:szCs w:val="24"/>
        </w:rPr>
      </w:pPr>
      <w:r w:rsidRPr="00A2592D">
        <w:rPr>
          <w:rFonts w:cs="Arial"/>
          <w:sz w:val="24"/>
          <w:szCs w:val="24"/>
        </w:rPr>
        <w:t>Housing (Rent Books) (Amendment) Regulations 2010</w:t>
      </w:r>
    </w:p>
    <w:p w:rsidR="00FB554C" w:rsidRPr="00A2592D" w:rsidRDefault="00FB554C" w:rsidP="00FB554C">
      <w:pPr>
        <w:spacing w:after="0"/>
        <w:rPr>
          <w:rFonts w:cs="Arial"/>
          <w:sz w:val="24"/>
          <w:szCs w:val="24"/>
        </w:rPr>
      </w:pPr>
      <w:r w:rsidRPr="00A2592D">
        <w:rPr>
          <w:rFonts w:cs="Arial"/>
          <w:sz w:val="24"/>
          <w:szCs w:val="24"/>
        </w:rPr>
        <w:t>Circulars</w:t>
      </w:r>
      <w:r w:rsidR="00D75F8C" w:rsidRPr="00A2592D">
        <w:rPr>
          <w:rFonts w:cs="Arial"/>
          <w:sz w:val="24"/>
          <w:szCs w:val="24"/>
        </w:rPr>
        <w:t>:</w:t>
      </w:r>
      <w:r w:rsidRPr="00A2592D">
        <w:rPr>
          <w:rFonts w:cs="Arial"/>
          <w:sz w:val="24"/>
          <w:szCs w:val="24"/>
        </w:rPr>
        <w:t xml:space="preserve"> Housing 30/2012, 13/2013, 24/2013</w:t>
      </w:r>
    </w:p>
    <w:p w:rsidR="008319D0" w:rsidRPr="00A2592D" w:rsidRDefault="008319D0" w:rsidP="00FB554C">
      <w:pPr>
        <w:spacing w:after="0"/>
        <w:rPr>
          <w:rFonts w:cs="Arial"/>
          <w:sz w:val="24"/>
          <w:szCs w:val="24"/>
        </w:rPr>
      </w:pPr>
      <w:r w:rsidRPr="00A2592D">
        <w:rPr>
          <w:rFonts w:cs="Arial"/>
          <w:sz w:val="24"/>
          <w:szCs w:val="24"/>
        </w:rPr>
        <w:t xml:space="preserve">Housing (Standards for Rented Houses) Regulations 2017 (S.I. 17/2017) </w:t>
      </w:r>
    </w:p>
    <w:p w:rsidR="00FB554C" w:rsidRPr="00A2592D" w:rsidRDefault="00FB554C" w:rsidP="007C64D3">
      <w:pPr>
        <w:spacing w:after="0"/>
        <w:rPr>
          <w:rFonts w:cs="Arial"/>
          <w:sz w:val="24"/>
          <w:szCs w:val="24"/>
        </w:rPr>
      </w:pPr>
    </w:p>
    <w:p w:rsidR="003F6E1E" w:rsidRPr="00A2592D" w:rsidRDefault="003F6E1E" w:rsidP="007C64D3">
      <w:pPr>
        <w:spacing w:after="0"/>
        <w:rPr>
          <w:rFonts w:cs="Arial"/>
          <w:b/>
          <w:sz w:val="24"/>
          <w:szCs w:val="24"/>
        </w:rPr>
      </w:pPr>
      <w:r w:rsidRPr="00A2592D">
        <w:rPr>
          <w:rFonts w:cs="Arial"/>
          <w:b/>
          <w:sz w:val="24"/>
          <w:szCs w:val="24"/>
        </w:rPr>
        <w:t>Background:</w:t>
      </w:r>
    </w:p>
    <w:p w:rsidR="00F91D78" w:rsidRDefault="00F91D78" w:rsidP="007C64D3">
      <w:pPr>
        <w:spacing w:after="0"/>
        <w:rPr>
          <w:rFonts w:cs="Arial"/>
          <w:color w:val="333333"/>
          <w:sz w:val="24"/>
          <w:szCs w:val="24"/>
        </w:rPr>
      </w:pPr>
      <w:r w:rsidRPr="00A2592D">
        <w:rPr>
          <w:rFonts w:cs="Arial"/>
          <w:color w:val="333333"/>
          <w:sz w:val="24"/>
          <w:szCs w:val="24"/>
        </w:rPr>
        <w:t xml:space="preserve">Kilkenny County Council is dedicated to improving the living standards of tenants in private rented housing. We do this through the inspection of private rented properties. These inspections are carried out on a proactive basis and in response to complaints from members of the public. </w:t>
      </w:r>
    </w:p>
    <w:p w:rsidR="00A2592D" w:rsidRPr="00A2592D" w:rsidRDefault="00A2592D" w:rsidP="007C64D3">
      <w:pPr>
        <w:spacing w:after="0"/>
        <w:rPr>
          <w:rFonts w:cs="Arial"/>
          <w:color w:val="333333"/>
          <w:sz w:val="24"/>
          <w:szCs w:val="24"/>
        </w:rPr>
      </w:pPr>
    </w:p>
    <w:p w:rsidR="00F91D78" w:rsidRPr="00A2592D" w:rsidRDefault="00F91D78" w:rsidP="00F91D78">
      <w:pPr>
        <w:spacing w:after="150" w:line="240" w:lineRule="auto"/>
        <w:rPr>
          <w:rFonts w:eastAsia="Times New Roman" w:cs="Arial"/>
          <w:color w:val="333333"/>
          <w:sz w:val="24"/>
          <w:szCs w:val="24"/>
          <w:lang w:eastAsia="en-IE"/>
        </w:rPr>
      </w:pPr>
      <w:r w:rsidRPr="00A2592D">
        <w:rPr>
          <w:rFonts w:eastAsia="Times New Roman" w:cs="Arial"/>
          <w:color w:val="333333"/>
          <w:sz w:val="24"/>
          <w:szCs w:val="24"/>
          <w:lang w:eastAsia="en-IE"/>
        </w:rPr>
        <w:t>Designated Officers are legally empowered to inspect a private rented house made under the current legislation. The main objective of Housing Standards Regulations are to establish minimum standards in order to protect the health and well being of tenants and which makes private rented houses safe and fit for habitation.</w:t>
      </w:r>
    </w:p>
    <w:p w:rsidR="00F91D78" w:rsidRPr="00A2592D" w:rsidRDefault="00F91D78" w:rsidP="00F91D78">
      <w:pPr>
        <w:spacing w:after="150" w:line="240" w:lineRule="auto"/>
        <w:rPr>
          <w:rFonts w:eastAsia="Times New Roman" w:cs="Arial"/>
          <w:color w:val="333333"/>
          <w:sz w:val="24"/>
          <w:szCs w:val="24"/>
          <w:lang w:eastAsia="en-IE"/>
        </w:rPr>
      </w:pPr>
      <w:r w:rsidRPr="00A2592D">
        <w:rPr>
          <w:rFonts w:eastAsia="Times New Roman" w:cs="Arial"/>
          <w:color w:val="333333"/>
          <w:sz w:val="24"/>
          <w:szCs w:val="24"/>
          <w:lang w:eastAsia="en-IE"/>
        </w:rPr>
        <w:t>Landlords are legally obliged to ensure that their private rented houses (which include a house, flat or an apartment) are maintained in good condition and repair and comply with the Regulations while let and while available for letting. Landlords failing to comply with their legal obligations in private rented houses are liable to be prosecuted, and on conviction, may be subject to a fine or imprisonment or both.</w:t>
      </w:r>
    </w:p>
    <w:p w:rsidR="00F91D78" w:rsidRPr="00A2592D" w:rsidRDefault="00F91D78" w:rsidP="00F91D78">
      <w:pPr>
        <w:spacing w:after="150" w:line="240" w:lineRule="auto"/>
        <w:rPr>
          <w:rFonts w:eastAsia="Times New Roman" w:cs="Arial"/>
          <w:sz w:val="24"/>
          <w:szCs w:val="24"/>
          <w:lang w:eastAsia="en-IE"/>
        </w:rPr>
      </w:pPr>
      <w:r w:rsidRPr="00A2592D">
        <w:rPr>
          <w:rFonts w:eastAsia="Times New Roman" w:cs="Arial"/>
          <w:sz w:val="24"/>
          <w:szCs w:val="24"/>
          <w:lang w:eastAsia="en-IE"/>
        </w:rPr>
        <w:t xml:space="preserve">The following are covered in detail under the </w:t>
      </w:r>
      <w:hyperlink r:id="rId8" w:history="1">
        <w:r w:rsidRPr="00A2592D">
          <w:rPr>
            <w:rFonts w:eastAsia="Times New Roman" w:cs="Arial"/>
            <w:sz w:val="24"/>
            <w:szCs w:val="24"/>
            <w:lang w:eastAsia="en-IE"/>
          </w:rPr>
          <w:t>housing standards</w:t>
        </w:r>
      </w:hyperlink>
      <w:r w:rsidRPr="00A2592D">
        <w:rPr>
          <w:rFonts w:eastAsia="Times New Roman" w:cs="Arial"/>
          <w:sz w:val="24"/>
          <w:szCs w:val="24"/>
          <w:lang w:eastAsia="en-IE"/>
        </w:rPr>
        <w:t xml:space="preserve"> legislation and the </w:t>
      </w:r>
      <w:hyperlink r:id="rId9" w:history="1">
        <w:r w:rsidRPr="00A2592D">
          <w:rPr>
            <w:rFonts w:eastAsia="Times New Roman" w:cs="Arial"/>
            <w:sz w:val="24"/>
            <w:szCs w:val="24"/>
            <w:lang w:eastAsia="en-IE"/>
          </w:rPr>
          <w:t>technical guide document:</w:t>
        </w:r>
      </w:hyperlink>
    </w:p>
    <w:p w:rsidR="00F91D78" w:rsidRPr="000B0989" w:rsidRDefault="00F91D78" w:rsidP="00F91D78">
      <w:pPr>
        <w:numPr>
          <w:ilvl w:val="0"/>
          <w:numId w:val="9"/>
        </w:numPr>
        <w:spacing w:before="100" w:beforeAutospacing="1" w:after="100" w:afterAutospacing="1" w:line="240" w:lineRule="auto"/>
        <w:ind w:left="270"/>
        <w:rPr>
          <w:rFonts w:eastAsia="Times New Roman" w:cs="Arial"/>
          <w:color w:val="333333"/>
          <w:sz w:val="24"/>
          <w:szCs w:val="24"/>
          <w:lang w:eastAsia="en-IE"/>
        </w:rPr>
      </w:pPr>
      <w:r w:rsidRPr="000B0989">
        <w:rPr>
          <w:rFonts w:eastAsia="Times New Roman" w:cs="Arial"/>
          <w:color w:val="333333"/>
          <w:sz w:val="24"/>
          <w:szCs w:val="24"/>
          <w:lang w:eastAsia="en-IE"/>
        </w:rPr>
        <w:t>Structural Condition</w:t>
      </w:r>
      <w:r w:rsidR="000B0989">
        <w:rPr>
          <w:rFonts w:eastAsia="Times New Roman" w:cs="Arial"/>
          <w:color w:val="333333"/>
          <w:sz w:val="24"/>
          <w:szCs w:val="24"/>
          <w:lang w:eastAsia="en-IE"/>
        </w:rPr>
        <w:tab/>
      </w:r>
      <w:r w:rsidR="000B0989">
        <w:rPr>
          <w:rFonts w:eastAsia="Times New Roman" w:cs="Arial"/>
          <w:color w:val="333333"/>
          <w:sz w:val="24"/>
          <w:szCs w:val="24"/>
          <w:lang w:eastAsia="en-IE"/>
        </w:rPr>
        <w:tab/>
      </w:r>
      <w:r w:rsidR="000B0989">
        <w:rPr>
          <w:rFonts w:eastAsia="Times New Roman" w:cs="Arial"/>
          <w:color w:val="333333"/>
          <w:sz w:val="24"/>
          <w:szCs w:val="24"/>
          <w:lang w:eastAsia="en-IE"/>
        </w:rPr>
        <w:tab/>
      </w:r>
      <w:r w:rsidR="000B0989">
        <w:rPr>
          <w:rFonts w:eastAsia="Times New Roman" w:cs="Arial"/>
          <w:color w:val="333333"/>
          <w:sz w:val="24"/>
          <w:szCs w:val="24"/>
          <w:lang w:eastAsia="en-IE"/>
        </w:rPr>
        <w:tab/>
      </w:r>
    </w:p>
    <w:p w:rsidR="00F91D78" w:rsidRPr="00A2592D" w:rsidRDefault="00F91D78" w:rsidP="00F91D78">
      <w:pPr>
        <w:numPr>
          <w:ilvl w:val="0"/>
          <w:numId w:val="9"/>
        </w:numPr>
        <w:spacing w:before="100" w:beforeAutospacing="1" w:after="100" w:afterAutospacing="1" w:line="240" w:lineRule="auto"/>
        <w:ind w:left="270"/>
        <w:rPr>
          <w:rFonts w:eastAsia="Times New Roman" w:cs="Arial"/>
          <w:color w:val="333333"/>
          <w:sz w:val="24"/>
          <w:szCs w:val="24"/>
          <w:lang w:eastAsia="en-IE"/>
        </w:rPr>
      </w:pPr>
      <w:r w:rsidRPr="00A2592D">
        <w:rPr>
          <w:rFonts w:eastAsia="Times New Roman" w:cs="Arial"/>
          <w:color w:val="333333"/>
          <w:sz w:val="24"/>
          <w:szCs w:val="24"/>
          <w:lang w:eastAsia="en-IE"/>
        </w:rPr>
        <w:t>Heating Facilities</w:t>
      </w:r>
    </w:p>
    <w:p w:rsidR="00F91D78" w:rsidRPr="00A2592D" w:rsidRDefault="00F91D78" w:rsidP="00F91D78">
      <w:pPr>
        <w:numPr>
          <w:ilvl w:val="0"/>
          <w:numId w:val="9"/>
        </w:numPr>
        <w:spacing w:before="100" w:beforeAutospacing="1" w:after="100" w:afterAutospacing="1" w:line="240" w:lineRule="auto"/>
        <w:ind w:left="270"/>
        <w:rPr>
          <w:rFonts w:eastAsia="Times New Roman" w:cs="Arial"/>
          <w:color w:val="333333"/>
          <w:sz w:val="24"/>
          <w:szCs w:val="24"/>
          <w:lang w:eastAsia="en-IE"/>
        </w:rPr>
      </w:pPr>
      <w:r w:rsidRPr="00A2592D">
        <w:rPr>
          <w:rFonts w:eastAsia="Times New Roman" w:cs="Arial"/>
          <w:color w:val="333333"/>
          <w:sz w:val="24"/>
          <w:szCs w:val="24"/>
          <w:lang w:eastAsia="en-IE"/>
        </w:rPr>
        <w:t>Food Preparation and Storage and Laundry</w:t>
      </w:r>
    </w:p>
    <w:p w:rsidR="00F91D78" w:rsidRPr="00A2592D" w:rsidRDefault="00F91D78" w:rsidP="00F91D78">
      <w:pPr>
        <w:numPr>
          <w:ilvl w:val="0"/>
          <w:numId w:val="9"/>
        </w:numPr>
        <w:spacing w:before="100" w:beforeAutospacing="1" w:after="100" w:afterAutospacing="1" w:line="240" w:lineRule="auto"/>
        <w:ind w:left="270"/>
        <w:rPr>
          <w:rFonts w:eastAsia="Times New Roman" w:cs="Arial"/>
          <w:color w:val="333333"/>
          <w:sz w:val="24"/>
          <w:szCs w:val="24"/>
          <w:lang w:eastAsia="en-IE"/>
        </w:rPr>
      </w:pPr>
      <w:r w:rsidRPr="00A2592D">
        <w:rPr>
          <w:rFonts w:eastAsia="Times New Roman" w:cs="Arial"/>
          <w:color w:val="333333"/>
          <w:sz w:val="24"/>
          <w:szCs w:val="24"/>
          <w:lang w:eastAsia="en-IE"/>
        </w:rPr>
        <w:t>Ventilation</w:t>
      </w:r>
    </w:p>
    <w:p w:rsidR="00F91D78" w:rsidRPr="000B0989" w:rsidRDefault="00F91D78" w:rsidP="00F91D78">
      <w:pPr>
        <w:numPr>
          <w:ilvl w:val="0"/>
          <w:numId w:val="9"/>
        </w:numPr>
        <w:spacing w:before="100" w:beforeAutospacing="1" w:after="100" w:afterAutospacing="1" w:line="240" w:lineRule="auto"/>
        <w:ind w:left="270"/>
        <w:rPr>
          <w:rFonts w:eastAsia="Times New Roman" w:cs="Arial"/>
          <w:color w:val="333333"/>
          <w:sz w:val="24"/>
          <w:szCs w:val="24"/>
          <w:lang w:eastAsia="en-IE"/>
        </w:rPr>
      </w:pPr>
      <w:r w:rsidRPr="000B0989">
        <w:rPr>
          <w:rFonts w:eastAsia="Times New Roman" w:cs="Arial"/>
          <w:color w:val="333333"/>
          <w:sz w:val="24"/>
          <w:szCs w:val="24"/>
          <w:lang w:eastAsia="en-IE"/>
        </w:rPr>
        <w:t>Lighting</w:t>
      </w:r>
      <w:r w:rsidR="000B0989" w:rsidRPr="000B0989">
        <w:rPr>
          <w:rFonts w:eastAsia="Times New Roman" w:cs="Arial"/>
          <w:color w:val="333333"/>
          <w:sz w:val="24"/>
          <w:szCs w:val="24"/>
          <w:lang w:eastAsia="en-IE"/>
        </w:rPr>
        <w:t xml:space="preserve">, </w:t>
      </w:r>
      <w:r w:rsidRPr="000B0989">
        <w:rPr>
          <w:rFonts w:eastAsia="Times New Roman" w:cs="Arial"/>
          <w:color w:val="333333"/>
          <w:sz w:val="24"/>
          <w:szCs w:val="24"/>
          <w:lang w:eastAsia="en-IE"/>
        </w:rPr>
        <w:t>Fire Safety</w:t>
      </w:r>
      <w:r w:rsidR="000B0989" w:rsidRPr="000B0989">
        <w:rPr>
          <w:rFonts w:eastAsia="Times New Roman" w:cs="Arial"/>
          <w:color w:val="333333"/>
          <w:sz w:val="24"/>
          <w:szCs w:val="24"/>
          <w:lang w:eastAsia="en-IE"/>
        </w:rPr>
        <w:t xml:space="preserve">, </w:t>
      </w:r>
      <w:r w:rsidRPr="000B0989">
        <w:rPr>
          <w:rFonts w:eastAsia="Times New Roman" w:cs="Arial"/>
          <w:color w:val="333333"/>
          <w:sz w:val="24"/>
          <w:szCs w:val="24"/>
          <w:lang w:eastAsia="en-IE"/>
        </w:rPr>
        <w:t>Refuse</w:t>
      </w:r>
    </w:p>
    <w:p w:rsidR="000B0989" w:rsidRPr="000B0989" w:rsidRDefault="00F91D78" w:rsidP="00F91D78">
      <w:pPr>
        <w:numPr>
          <w:ilvl w:val="0"/>
          <w:numId w:val="9"/>
        </w:numPr>
        <w:spacing w:before="100" w:beforeAutospacing="1" w:after="100" w:afterAutospacing="1" w:line="240" w:lineRule="auto"/>
        <w:ind w:left="270"/>
        <w:rPr>
          <w:rFonts w:eastAsia="Times New Roman" w:cs="Arial"/>
          <w:color w:val="333333"/>
          <w:sz w:val="24"/>
          <w:szCs w:val="24"/>
          <w:lang w:eastAsia="en-IE"/>
        </w:rPr>
      </w:pPr>
      <w:r w:rsidRPr="000B0989">
        <w:rPr>
          <w:rFonts w:eastAsia="Times New Roman" w:cs="Arial"/>
          <w:color w:val="333333"/>
          <w:sz w:val="24"/>
          <w:szCs w:val="24"/>
          <w:lang w:eastAsia="en-IE"/>
        </w:rPr>
        <w:t>Electricity and Gas</w:t>
      </w:r>
      <w:r w:rsidR="000B0989" w:rsidRPr="000B0989">
        <w:rPr>
          <w:rFonts w:eastAsia="Times New Roman" w:cs="Arial"/>
          <w:color w:val="333333"/>
          <w:sz w:val="24"/>
          <w:szCs w:val="24"/>
          <w:lang w:eastAsia="en-IE"/>
        </w:rPr>
        <w:t xml:space="preserve"> &amp;</w:t>
      </w:r>
      <w:r w:rsidR="000B0989">
        <w:rPr>
          <w:rFonts w:eastAsia="Times New Roman" w:cs="Arial"/>
          <w:color w:val="333333"/>
          <w:sz w:val="24"/>
          <w:szCs w:val="24"/>
          <w:lang w:eastAsia="en-IE"/>
        </w:rPr>
        <w:t xml:space="preserve"> </w:t>
      </w:r>
      <w:r w:rsidR="000B0989" w:rsidRPr="000B0989">
        <w:rPr>
          <w:rFonts w:eastAsia="Times New Roman" w:cs="Arial"/>
          <w:color w:val="333333"/>
          <w:sz w:val="24"/>
          <w:szCs w:val="24"/>
          <w:lang w:eastAsia="en-IE"/>
        </w:rPr>
        <w:t>Sanitary Facilities</w:t>
      </w:r>
    </w:p>
    <w:p w:rsidR="00F91D78" w:rsidRPr="00A2592D" w:rsidRDefault="00F91D78" w:rsidP="00F91D78">
      <w:pPr>
        <w:numPr>
          <w:ilvl w:val="0"/>
          <w:numId w:val="9"/>
        </w:numPr>
        <w:spacing w:before="100" w:beforeAutospacing="1" w:after="100" w:afterAutospacing="1" w:line="240" w:lineRule="auto"/>
        <w:ind w:left="270"/>
        <w:rPr>
          <w:rFonts w:eastAsia="Times New Roman" w:cs="Arial"/>
          <w:color w:val="333333"/>
          <w:sz w:val="24"/>
          <w:szCs w:val="24"/>
          <w:lang w:eastAsia="en-IE"/>
        </w:rPr>
      </w:pPr>
      <w:r w:rsidRPr="00A2592D">
        <w:rPr>
          <w:rFonts w:eastAsia="Times New Roman" w:cs="Arial"/>
          <w:color w:val="333333"/>
          <w:sz w:val="24"/>
          <w:szCs w:val="24"/>
          <w:lang w:eastAsia="en-IE"/>
        </w:rPr>
        <w:t>Dealing with Complaints</w:t>
      </w:r>
    </w:p>
    <w:p w:rsidR="00F91D78" w:rsidRPr="00A2592D" w:rsidRDefault="00F91D78" w:rsidP="00F91D78">
      <w:pPr>
        <w:spacing w:after="150" w:line="240" w:lineRule="auto"/>
        <w:rPr>
          <w:rFonts w:eastAsia="Times New Roman" w:cs="Arial"/>
          <w:color w:val="333333"/>
          <w:sz w:val="24"/>
          <w:szCs w:val="24"/>
          <w:lang w:eastAsia="en-IE"/>
        </w:rPr>
      </w:pPr>
      <w:r w:rsidRPr="00A2592D">
        <w:rPr>
          <w:rFonts w:eastAsia="Times New Roman" w:cs="Arial"/>
          <w:color w:val="333333"/>
          <w:sz w:val="24"/>
          <w:szCs w:val="24"/>
          <w:lang w:eastAsia="en-IE"/>
        </w:rPr>
        <w:lastRenderedPageBreak/>
        <w:t>As a tenant, please contact your landlord in the first instance concerning any problems within your rented accommodation.</w:t>
      </w:r>
    </w:p>
    <w:p w:rsidR="00F91D78" w:rsidRPr="00A2592D" w:rsidRDefault="00F91D78" w:rsidP="00F91D78">
      <w:pPr>
        <w:spacing w:after="150" w:line="240" w:lineRule="auto"/>
        <w:rPr>
          <w:rFonts w:eastAsia="Times New Roman" w:cs="Arial"/>
          <w:color w:val="333333"/>
          <w:sz w:val="24"/>
          <w:szCs w:val="24"/>
          <w:lang w:eastAsia="en-IE"/>
        </w:rPr>
      </w:pPr>
      <w:r w:rsidRPr="00A2592D">
        <w:rPr>
          <w:rFonts w:eastAsia="Times New Roman" w:cs="Arial"/>
          <w:color w:val="333333"/>
          <w:sz w:val="24"/>
          <w:szCs w:val="24"/>
          <w:lang w:eastAsia="en-IE"/>
        </w:rPr>
        <w:t>If the problem has been highlighted to your landlord and has not been rectified, you can then refer the matter to the Housing Section for further investigation.</w:t>
      </w:r>
    </w:p>
    <w:p w:rsidR="00F91D78" w:rsidRPr="00A2592D" w:rsidRDefault="00F91D78" w:rsidP="00F91D78">
      <w:pPr>
        <w:spacing w:after="150" w:line="240" w:lineRule="auto"/>
        <w:rPr>
          <w:rFonts w:eastAsia="Times New Roman" w:cs="Arial"/>
          <w:color w:val="333333"/>
          <w:sz w:val="24"/>
          <w:szCs w:val="24"/>
          <w:lang w:eastAsia="en-IE"/>
        </w:rPr>
      </w:pPr>
      <w:r w:rsidRPr="00A2592D">
        <w:rPr>
          <w:rFonts w:eastAsia="Times New Roman" w:cs="Arial"/>
          <w:color w:val="333333"/>
          <w:sz w:val="24"/>
          <w:szCs w:val="24"/>
          <w:lang w:eastAsia="en-IE"/>
        </w:rPr>
        <w:t xml:space="preserve">Note: Kilkenny County Council does not mediate in disputes between landlords and tenants. Please contact </w:t>
      </w:r>
      <w:hyperlink r:id="rId10" w:history="1">
        <w:r w:rsidRPr="00A2592D">
          <w:rPr>
            <w:rStyle w:val="Hyperlink"/>
            <w:rFonts w:eastAsia="Times New Roman" w:cs="Arial"/>
            <w:sz w:val="24"/>
            <w:szCs w:val="24"/>
            <w:lang w:eastAsia="en-IE"/>
          </w:rPr>
          <w:t>www.rtb.ie</w:t>
        </w:r>
      </w:hyperlink>
      <w:r w:rsidRPr="00A2592D">
        <w:rPr>
          <w:rFonts w:eastAsia="Times New Roman" w:cs="Arial"/>
          <w:color w:val="333333"/>
          <w:sz w:val="24"/>
          <w:szCs w:val="24"/>
          <w:lang w:eastAsia="en-IE"/>
        </w:rPr>
        <w:t xml:space="preserve"> for dispute resolution supports. </w:t>
      </w:r>
    </w:p>
    <w:p w:rsidR="00763808" w:rsidRPr="00A2592D" w:rsidRDefault="00763808" w:rsidP="00B70C7A">
      <w:pPr>
        <w:pStyle w:val="Default"/>
        <w:rPr>
          <w:rFonts w:asciiTheme="minorHAnsi" w:hAnsiTheme="minorHAnsi" w:cs="Arial"/>
        </w:rPr>
      </w:pPr>
    </w:p>
    <w:p w:rsidR="00B70C7A" w:rsidRPr="00A2592D" w:rsidRDefault="00B70C7A" w:rsidP="00B70C7A">
      <w:pPr>
        <w:pStyle w:val="Default"/>
        <w:rPr>
          <w:rFonts w:asciiTheme="minorHAnsi" w:hAnsiTheme="minorHAnsi" w:cs="Arial"/>
        </w:rPr>
      </w:pPr>
      <w:r w:rsidRPr="00A2592D">
        <w:rPr>
          <w:rFonts w:asciiTheme="minorHAnsi" w:hAnsiTheme="minorHAnsi" w:cs="Arial"/>
        </w:rPr>
        <w:t>Where a property does not comply</w:t>
      </w:r>
      <w:r w:rsidR="00F91D78" w:rsidRPr="00A2592D">
        <w:rPr>
          <w:rFonts w:asciiTheme="minorHAnsi" w:hAnsiTheme="minorHAnsi" w:cs="Arial"/>
        </w:rPr>
        <w:t xml:space="preserve"> with Minimum Rented Standards</w:t>
      </w:r>
      <w:r w:rsidRPr="00A2592D">
        <w:rPr>
          <w:rFonts w:asciiTheme="minorHAnsi" w:hAnsiTheme="minorHAnsi" w:cs="Arial"/>
        </w:rPr>
        <w:t xml:space="preserve">, the Local Authority can engage a series of sanctions against a landlord. </w:t>
      </w:r>
    </w:p>
    <w:p w:rsidR="00B70C7A" w:rsidRPr="00A2592D" w:rsidRDefault="00B70C7A" w:rsidP="00B70C7A">
      <w:pPr>
        <w:pStyle w:val="Default"/>
        <w:rPr>
          <w:rFonts w:asciiTheme="minorHAnsi" w:hAnsiTheme="minorHAnsi" w:cs="Arial"/>
        </w:rPr>
      </w:pPr>
    </w:p>
    <w:p w:rsidR="00B70C7A" w:rsidRPr="00A2592D" w:rsidRDefault="00B70C7A" w:rsidP="00B70C7A">
      <w:pPr>
        <w:pStyle w:val="Default"/>
        <w:numPr>
          <w:ilvl w:val="0"/>
          <w:numId w:val="5"/>
        </w:numPr>
        <w:rPr>
          <w:rFonts w:asciiTheme="minorHAnsi" w:hAnsiTheme="minorHAnsi" w:cs="Arial"/>
        </w:rPr>
      </w:pPr>
      <w:r w:rsidRPr="00A2592D">
        <w:rPr>
          <w:rFonts w:asciiTheme="minorHAnsi" w:hAnsiTheme="minorHAnsi" w:cs="Arial"/>
        </w:rPr>
        <w:t xml:space="preserve">An </w:t>
      </w:r>
      <w:r w:rsidRPr="00A2592D">
        <w:rPr>
          <w:rFonts w:asciiTheme="minorHAnsi" w:hAnsiTheme="minorHAnsi" w:cs="Arial"/>
          <w:b/>
        </w:rPr>
        <w:t>Improvement Notice</w:t>
      </w:r>
      <w:r w:rsidRPr="00A2592D">
        <w:rPr>
          <w:rFonts w:asciiTheme="minorHAnsi" w:hAnsiTheme="minorHAnsi" w:cs="Arial"/>
        </w:rPr>
        <w:t xml:space="preserve"> sets out the works a landlord must carry out, within a set timeframe, to remedy any breach of the regulations. Where an Improvement Notice is not complied with, a housing authority may issue a </w:t>
      </w:r>
      <w:r w:rsidRPr="00A2592D">
        <w:rPr>
          <w:rFonts w:asciiTheme="minorHAnsi" w:hAnsiTheme="minorHAnsi" w:cs="Arial"/>
          <w:b/>
        </w:rPr>
        <w:t>Prohibition Notice</w:t>
      </w:r>
      <w:r w:rsidRPr="00A2592D">
        <w:rPr>
          <w:rFonts w:asciiTheme="minorHAnsi" w:hAnsiTheme="minorHAnsi" w:cs="Arial"/>
        </w:rPr>
        <w:t xml:space="preserve">, which directs a landlord not to re-let a property until the breach of the regulations has been rectified. </w:t>
      </w:r>
    </w:p>
    <w:p w:rsidR="00B70C7A" w:rsidRPr="00A2592D" w:rsidRDefault="00B70C7A" w:rsidP="00B70C7A">
      <w:pPr>
        <w:pStyle w:val="Default"/>
        <w:numPr>
          <w:ilvl w:val="0"/>
          <w:numId w:val="5"/>
        </w:numPr>
        <w:rPr>
          <w:rFonts w:asciiTheme="minorHAnsi" w:hAnsiTheme="minorHAnsi" w:cs="Arial"/>
        </w:rPr>
      </w:pPr>
      <w:r w:rsidRPr="00A2592D">
        <w:rPr>
          <w:rFonts w:asciiTheme="minorHAnsi" w:hAnsiTheme="minorHAnsi" w:cs="Arial"/>
        </w:rPr>
        <w:t xml:space="preserve">A person who obstructs an authorised person in the lawful exercise of their powers or who contravenes the regulations is guilty of an offence under the Housing (Miscellaneous Provisions) Act 1992. Failure to comply with an Improvement Notice or a Prohibition Notice is also an offence. </w:t>
      </w:r>
    </w:p>
    <w:p w:rsidR="00B70C7A" w:rsidRPr="00A2592D" w:rsidRDefault="00B70C7A" w:rsidP="00B70C7A">
      <w:pPr>
        <w:pStyle w:val="Default"/>
        <w:numPr>
          <w:ilvl w:val="0"/>
          <w:numId w:val="5"/>
        </w:numPr>
        <w:rPr>
          <w:rFonts w:asciiTheme="minorHAnsi" w:hAnsiTheme="minorHAnsi" w:cs="Arial"/>
        </w:rPr>
      </w:pPr>
      <w:r w:rsidRPr="00A2592D">
        <w:rPr>
          <w:rFonts w:asciiTheme="minorHAnsi" w:hAnsiTheme="minorHAnsi" w:cs="Arial"/>
        </w:rPr>
        <w:t xml:space="preserve">The maximum fine for an offence is €5,000 and €400 for each day of a continuing offence. Where a person is guilty of an offence under this Act, the court shall, unless there are particular reasons for not doing so, order that person to pay the costs and expenses incurred by the housing authority in relation to the prosecution of the offence </w:t>
      </w:r>
    </w:p>
    <w:p w:rsidR="003F6E1E" w:rsidRPr="00A2592D" w:rsidRDefault="003F6E1E" w:rsidP="007C64D3">
      <w:pPr>
        <w:spacing w:after="0"/>
        <w:rPr>
          <w:rFonts w:cs="Arial"/>
          <w:sz w:val="24"/>
          <w:szCs w:val="24"/>
        </w:rPr>
      </w:pPr>
    </w:p>
    <w:p w:rsidR="003F6E1E" w:rsidRPr="00A2592D" w:rsidRDefault="003F6E1E" w:rsidP="003F6E1E">
      <w:pPr>
        <w:pStyle w:val="Default"/>
        <w:rPr>
          <w:rFonts w:asciiTheme="minorHAnsi" w:hAnsiTheme="minorHAnsi" w:cs="Arial"/>
          <w:b/>
        </w:rPr>
      </w:pPr>
      <w:r w:rsidRPr="00A2592D">
        <w:rPr>
          <w:rFonts w:asciiTheme="minorHAnsi" w:hAnsiTheme="minorHAnsi" w:cs="Arial"/>
          <w:b/>
        </w:rPr>
        <w:t>Eligibility and Exceptions:</w:t>
      </w:r>
    </w:p>
    <w:p w:rsidR="003F6E1E" w:rsidRPr="00A2592D" w:rsidRDefault="003F6E1E" w:rsidP="003F6E1E">
      <w:pPr>
        <w:pStyle w:val="Default"/>
        <w:rPr>
          <w:rFonts w:asciiTheme="minorHAnsi" w:hAnsiTheme="minorHAnsi" w:cs="Arial"/>
        </w:rPr>
      </w:pPr>
      <w:r w:rsidRPr="00A2592D">
        <w:rPr>
          <w:rFonts w:asciiTheme="minorHAnsi" w:hAnsiTheme="minorHAnsi" w:cs="Arial"/>
        </w:rPr>
        <w:t xml:space="preserve">The revised regulations will apply to all rental accommodation with the exception of the following: </w:t>
      </w:r>
    </w:p>
    <w:p w:rsidR="00B70C7A" w:rsidRPr="00A2592D" w:rsidRDefault="00B70C7A" w:rsidP="003F6E1E">
      <w:pPr>
        <w:pStyle w:val="Default"/>
        <w:rPr>
          <w:rFonts w:asciiTheme="minorHAnsi" w:hAnsiTheme="minorHAnsi" w:cs="Arial"/>
        </w:rPr>
      </w:pPr>
    </w:p>
    <w:p w:rsidR="003F6E1E" w:rsidRPr="00A2592D" w:rsidRDefault="003F6E1E" w:rsidP="00B70C7A">
      <w:pPr>
        <w:pStyle w:val="Default"/>
        <w:numPr>
          <w:ilvl w:val="0"/>
          <w:numId w:val="4"/>
        </w:numPr>
        <w:spacing w:after="25"/>
        <w:rPr>
          <w:rFonts w:asciiTheme="minorHAnsi" w:hAnsiTheme="minorHAnsi" w:cs="Arial"/>
        </w:rPr>
      </w:pPr>
      <w:r w:rsidRPr="00A2592D">
        <w:rPr>
          <w:rFonts w:asciiTheme="minorHAnsi" w:hAnsiTheme="minorHAnsi" w:cs="Arial"/>
        </w:rPr>
        <w:t xml:space="preserve">holiday homes </w:t>
      </w:r>
    </w:p>
    <w:p w:rsidR="003F6E1E" w:rsidRPr="00A2592D" w:rsidRDefault="003F6E1E" w:rsidP="00B70C7A">
      <w:pPr>
        <w:pStyle w:val="Default"/>
        <w:numPr>
          <w:ilvl w:val="0"/>
          <w:numId w:val="4"/>
        </w:numPr>
        <w:spacing w:after="25"/>
        <w:rPr>
          <w:rFonts w:asciiTheme="minorHAnsi" w:hAnsiTheme="minorHAnsi" w:cs="Arial"/>
        </w:rPr>
      </w:pPr>
      <w:proofErr w:type="gramStart"/>
      <w:r w:rsidRPr="00A2592D">
        <w:rPr>
          <w:rFonts w:asciiTheme="minorHAnsi" w:hAnsiTheme="minorHAnsi" w:cs="Arial"/>
        </w:rPr>
        <w:t>accommodation</w:t>
      </w:r>
      <w:proofErr w:type="gramEnd"/>
      <w:r w:rsidRPr="00A2592D">
        <w:rPr>
          <w:rFonts w:asciiTheme="minorHAnsi" w:hAnsiTheme="minorHAnsi" w:cs="Arial"/>
        </w:rPr>
        <w:t xml:space="preserve"> provided by the HSE or an approved housing body containing communal sanitary, cooking and dining facilities. </w:t>
      </w:r>
    </w:p>
    <w:p w:rsidR="003F6E1E" w:rsidRPr="00A2592D" w:rsidRDefault="003F6E1E" w:rsidP="00B70C7A">
      <w:pPr>
        <w:pStyle w:val="Default"/>
        <w:numPr>
          <w:ilvl w:val="0"/>
          <w:numId w:val="4"/>
        </w:numPr>
        <w:spacing w:after="25"/>
        <w:rPr>
          <w:rFonts w:asciiTheme="minorHAnsi" w:hAnsiTheme="minorHAnsi" w:cs="Arial"/>
        </w:rPr>
      </w:pPr>
      <w:r w:rsidRPr="00A2592D">
        <w:rPr>
          <w:rFonts w:asciiTheme="minorHAnsi" w:hAnsiTheme="minorHAnsi" w:cs="Arial"/>
        </w:rPr>
        <w:t xml:space="preserve">demountable (e.g. mobile homes) housing provided by a housing authority </w:t>
      </w:r>
    </w:p>
    <w:p w:rsidR="003F6E1E" w:rsidRDefault="003F6E1E" w:rsidP="00B70C7A">
      <w:pPr>
        <w:pStyle w:val="Default"/>
        <w:numPr>
          <w:ilvl w:val="0"/>
          <w:numId w:val="4"/>
        </w:numPr>
        <w:rPr>
          <w:rFonts w:asciiTheme="minorHAnsi" w:hAnsiTheme="minorHAnsi" w:cs="Arial"/>
        </w:rPr>
      </w:pPr>
      <w:proofErr w:type="gramStart"/>
      <w:r w:rsidRPr="00A2592D">
        <w:rPr>
          <w:rFonts w:asciiTheme="minorHAnsi" w:hAnsiTheme="minorHAnsi" w:cs="Arial"/>
        </w:rPr>
        <w:t>accommodation</w:t>
      </w:r>
      <w:proofErr w:type="gramEnd"/>
      <w:r w:rsidRPr="00A2592D">
        <w:rPr>
          <w:rFonts w:asciiTheme="minorHAnsi" w:hAnsiTheme="minorHAnsi" w:cs="Arial"/>
        </w:rPr>
        <w:t xml:space="preserve"> let by a housing authority or an approved housing body will be exempt from the requirements for food preparation, storage and laundry purposes.</w:t>
      </w:r>
      <w:r w:rsidR="00B70C7A" w:rsidRPr="00A2592D">
        <w:rPr>
          <w:rFonts w:asciiTheme="minorHAnsi" w:hAnsiTheme="minorHAnsi" w:cs="Arial"/>
        </w:rPr>
        <w:t xml:space="preserve"> </w:t>
      </w:r>
      <w:r w:rsidRPr="00A2592D">
        <w:rPr>
          <w:rFonts w:asciiTheme="minorHAnsi" w:hAnsiTheme="minorHAnsi" w:cs="Arial"/>
        </w:rPr>
        <w:t xml:space="preserve"> In this kind of accommodation the tenant usually provides these goods, retaining ownership of them when they move to new accommodation (all other articles of the Regulations apply to both housing authorities and to approved housing bodies.) </w:t>
      </w:r>
    </w:p>
    <w:p w:rsidR="00A2592D" w:rsidRDefault="00A2592D" w:rsidP="00A2592D">
      <w:pPr>
        <w:pStyle w:val="Default"/>
        <w:rPr>
          <w:rFonts w:asciiTheme="minorHAnsi" w:hAnsiTheme="minorHAnsi" w:cs="Arial"/>
        </w:rPr>
      </w:pPr>
    </w:p>
    <w:p w:rsidR="009411C4" w:rsidRPr="00A2592D" w:rsidRDefault="009411C4" w:rsidP="007C64D3">
      <w:pPr>
        <w:spacing w:after="0"/>
        <w:rPr>
          <w:rFonts w:cs="Arial"/>
          <w:b/>
          <w:sz w:val="24"/>
          <w:szCs w:val="24"/>
        </w:rPr>
      </w:pPr>
      <w:r w:rsidRPr="00A2592D">
        <w:rPr>
          <w:rFonts w:cs="Arial"/>
          <w:b/>
          <w:sz w:val="24"/>
          <w:szCs w:val="24"/>
        </w:rPr>
        <w:t>Funding</w:t>
      </w:r>
    </w:p>
    <w:p w:rsidR="00266B82" w:rsidRPr="00A2592D" w:rsidRDefault="009411C4" w:rsidP="00496274">
      <w:pPr>
        <w:spacing w:after="0"/>
        <w:rPr>
          <w:rFonts w:cs="Arial"/>
          <w:sz w:val="24"/>
          <w:szCs w:val="24"/>
        </w:rPr>
      </w:pPr>
      <w:r w:rsidRPr="00A2592D">
        <w:rPr>
          <w:rFonts w:cs="Arial"/>
          <w:color w:val="333333"/>
          <w:sz w:val="24"/>
          <w:szCs w:val="24"/>
        </w:rPr>
        <w:t>Funding provided from part of each registrati</w:t>
      </w:r>
      <w:r w:rsidR="00496274" w:rsidRPr="00A2592D">
        <w:rPr>
          <w:rFonts w:cs="Arial"/>
          <w:color w:val="333333"/>
          <w:sz w:val="24"/>
          <w:szCs w:val="24"/>
        </w:rPr>
        <w:t>on fee collected by the Residential Tenancies Board (</w:t>
      </w:r>
      <w:r w:rsidRPr="00A2592D">
        <w:rPr>
          <w:rFonts w:cs="Arial"/>
          <w:color w:val="333333"/>
          <w:sz w:val="24"/>
          <w:szCs w:val="24"/>
        </w:rPr>
        <w:t xml:space="preserve">RTB) is paid to local authorities to finance the inspections of rented accommodation to ensure compliance with the regulations. The allocation of funding is reviewed annually by the Department of Environment </w:t>
      </w:r>
      <w:r w:rsidR="00266B82" w:rsidRPr="00A2592D">
        <w:rPr>
          <w:rFonts w:cs="Arial"/>
          <w:color w:val="333333"/>
          <w:sz w:val="24"/>
          <w:szCs w:val="24"/>
        </w:rPr>
        <w:t>focusing on targeted programmes of inspection activity</w:t>
      </w:r>
      <w:r w:rsidR="00496274" w:rsidRPr="00A2592D">
        <w:rPr>
          <w:rFonts w:cs="Arial"/>
          <w:color w:val="333333"/>
          <w:sz w:val="24"/>
          <w:szCs w:val="24"/>
        </w:rPr>
        <w:t>.</w:t>
      </w:r>
      <w:r w:rsidR="00266B82" w:rsidRPr="00A2592D">
        <w:rPr>
          <w:rFonts w:cs="Arial"/>
          <w:color w:val="333333"/>
          <w:sz w:val="24"/>
          <w:szCs w:val="24"/>
        </w:rPr>
        <w:t xml:space="preserve"> </w:t>
      </w:r>
    </w:p>
    <w:p w:rsidR="00385D55" w:rsidRPr="00A2592D" w:rsidRDefault="00385D55" w:rsidP="008B1271">
      <w:pPr>
        <w:tabs>
          <w:tab w:val="left" w:pos="3615"/>
        </w:tabs>
        <w:spacing w:after="0"/>
        <w:rPr>
          <w:rFonts w:cs="Arial"/>
          <w:b/>
          <w:sz w:val="24"/>
          <w:szCs w:val="24"/>
        </w:rPr>
      </w:pPr>
    </w:p>
    <w:p w:rsidR="00A2592D" w:rsidRDefault="00A2592D">
      <w:pPr>
        <w:rPr>
          <w:rFonts w:ascii="Arial" w:hAnsi="Arial" w:cs="Arial"/>
          <w:b/>
        </w:rPr>
      </w:pPr>
      <w:r>
        <w:rPr>
          <w:rFonts w:ascii="Arial" w:hAnsi="Arial" w:cs="Arial"/>
          <w:b/>
        </w:rPr>
        <w:br w:type="page"/>
      </w:r>
    </w:p>
    <w:p w:rsidR="005568D3" w:rsidRDefault="005568D3" w:rsidP="005568D3">
      <w:pPr>
        <w:tabs>
          <w:tab w:val="left" w:pos="3615"/>
        </w:tabs>
        <w:jc w:val="center"/>
        <w:rPr>
          <w:rFonts w:cs="Arial"/>
          <w:b/>
          <w:sz w:val="32"/>
          <w:szCs w:val="32"/>
        </w:rPr>
      </w:pPr>
      <w:r>
        <w:rPr>
          <w:rFonts w:cs="Arial"/>
          <w:b/>
          <w:sz w:val="32"/>
          <w:szCs w:val="32"/>
        </w:rPr>
        <w:lastRenderedPageBreak/>
        <w:t>Strategic Work Plan 2018 – Kilkenny County Council</w:t>
      </w:r>
    </w:p>
    <w:p w:rsidR="005568D3" w:rsidRDefault="005568D3" w:rsidP="005568D3">
      <w:pPr>
        <w:tabs>
          <w:tab w:val="left" w:pos="3615"/>
        </w:tabs>
        <w:rPr>
          <w:rFonts w:cs="Arial"/>
          <w:sz w:val="24"/>
          <w:szCs w:val="24"/>
        </w:rPr>
      </w:pPr>
      <w:r>
        <w:rPr>
          <w:rFonts w:cs="Arial"/>
          <w:sz w:val="24"/>
          <w:szCs w:val="24"/>
        </w:rPr>
        <w:t>As outlined in Department letter dated 5</w:t>
      </w:r>
      <w:r>
        <w:rPr>
          <w:rFonts w:cs="Arial"/>
          <w:sz w:val="24"/>
          <w:szCs w:val="24"/>
          <w:vertAlign w:val="superscript"/>
        </w:rPr>
        <w:t>th</w:t>
      </w:r>
      <w:r>
        <w:rPr>
          <w:rFonts w:cs="Arial"/>
          <w:sz w:val="24"/>
          <w:szCs w:val="24"/>
        </w:rPr>
        <w:t xml:space="preserve"> February 2018 a total of €2.5ml is available to local authorities in 2018 towards the costs of inspections. A schedule of </w:t>
      </w:r>
      <w:r>
        <w:rPr>
          <w:rFonts w:cs="Arial"/>
          <w:b/>
          <w:sz w:val="24"/>
          <w:szCs w:val="24"/>
        </w:rPr>
        <w:t xml:space="preserve">targets </w:t>
      </w:r>
      <w:r>
        <w:rPr>
          <w:rFonts w:cs="Arial"/>
          <w:sz w:val="24"/>
          <w:szCs w:val="24"/>
        </w:rPr>
        <w:t>is also set out up to 2021 as follows;</w:t>
      </w:r>
    </w:p>
    <w:p w:rsidR="005568D3" w:rsidRDefault="005568D3" w:rsidP="005568D3">
      <w:pPr>
        <w:tabs>
          <w:tab w:val="left" w:pos="3615"/>
        </w:tabs>
        <w:rPr>
          <w:rFonts w:cs="Arial"/>
          <w:b/>
          <w:sz w:val="28"/>
          <w:szCs w:val="28"/>
        </w:rPr>
      </w:pPr>
      <w:r>
        <w:rPr>
          <w:rFonts w:cs="Arial"/>
          <w:sz w:val="24"/>
          <w:szCs w:val="24"/>
        </w:rPr>
        <w:tab/>
      </w:r>
      <w:r>
        <w:rPr>
          <w:rFonts w:cs="Arial"/>
          <w:sz w:val="24"/>
          <w:szCs w:val="24"/>
        </w:rPr>
        <w:tab/>
      </w:r>
      <w:r>
        <w:rPr>
          <w:rFonts w:cs="Arial"/>
          <w:b/>
          <w:sz w:val="28"/>
          <w:szCs w:val="28"/>
        </w:rPr>
        <w:t>Targets</w:t>
      </w:r>
    </w:p>
    <w:tbl>
      <w:tblPr>
        <w:tblStyle w:val="TableGrid"/>
        <w:tblW w:w="0" w:type="auto"/>
        <w:tblLook w:val="04A0"/>
      </w:tblPr>
      <w:tblGrid>
        <w:gridCol w:w="2310"/>
        <w:gridCol w:w="2310"/>
        <w:gridCol w:w="2311"/>
        <w:gridCol w:w="2311"/>
      </w:tblGrid>
      <w:tr w:rsidR="005568D3" w:rsidTr="005568D3">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D3" w:rsidRDefault="005568D3">
            <w:pPr>
              <w:tabs>
                <w:tab w:val="left" w:pos="3615"/>
              </w:tabs>
              <w:jc w:val="center"/>
              <w:rPr>
                <w:rFonts w:cs="Arial"/>
                <w:b/>
                <w:sz w:val="24"/>
                <w:szCs w:val="24"/>
                <w:lang w:val="en-US"/>
              </w:rPr>
            </w:pPr>
            <w:r>
              <w:rPr>
                <w:rFonts w:cs="Arial"/>
                <w:b/>
                <w:sz w:val="24"/>
                <w:szCs w:val="24"/>
              </w:rPr>
              <w:t>2018 (10%)</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D3" w:rsidRDefault="005568D3">
            <w:pPr>
              <w:tabs>
                <w:tab w:val="left" w:pos="3615"/>
              </w:tabs>
              <w:jc w:val="center"/>
              <w:rPr>
                <w:rFonts w:cs="Arial"/>
                <w:sz w:val="24"/>
                <w:szCs w:val="24"/>
                <w:lang w:val="en-US"/>
              </w:rPr>
            </w:pPr>
            <w:r>
              <w:rPr>
                <w:rFonts w:cs="Arial"/>
                <w:sz w:val="24"/>
                <w:szCs w:val="24"/>
              </w:rPr>
              <w:t>2019 (15%)</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D3" w:rsidRDefault="005568D3">
            <w:pPr>
              <w:tabs>
                <w:tab w:val="left" w:pos="3615"/>
              </w:tabs>
              <w:jc w:val="center"/>
              <w:rPr>
                <w:rFonts w:cs="Arial"/>
                <w:sz w:val="24"/>
                <w:szCs w:val="24"/>
                <w:lang w:val="en-US"/>
              </w:rPr>
            </w:pPr>
            <w:r>
              <w:rPr>
                <w:rFonts w:cs="Arial"/>
                <w:sz w:val="24"/>
                <w:szCs w:val="24"/>
              </w:rPr>
              <w:t>2020 (20%)</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D3" w:rsidRDefault="005568D3">
            <w:pPr>
              <w:tabs>
                <w:tab w:val="left" w:pos="3615"/>
              </w:tabs>
              <w:jc w:val="center"/>
              <w:rPr>
                <w:rFonts w:cs="Arial"/>
                <w:sz w:val="24"/>
                <w:szCs w:val="24"/>
                <w:lang w:val="en-US"/>
              </w:rPr>
            </w:pPr>
            <w:r>
              <w:rPr>
                <w:rFonts w:cs="Arial"/>
                <w:sz w:val="24"/>
                <w:szCs w:val="24"/>
              </w:rPr>
              <w:t>2021 (25%)</w:t>
            </w:r>
          </w:p>
        </w:tc>
      </w:tr>
      <w:tr w:rsidR="005568D3" w:rsidTr="005568D3">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D3" w:rsidRDefault="005568D3">
            <w:pPr>
              <w:tabs>
                <w:tab w:val="left" w:pos="3615"/>
              </w:tabs>
              <w:jc w:val="center"/>
              <w:rPr>
                <w:rFonts w:cs="Arial"/>
                <w:b/>
                <w:sz w:val="24"/>
                <w:szCs w:val="24"/>
                <w:lang w:val="en-US"/>
              </w:rPr>
            </w:pPr>
            <w:r>
              <w:rPr>
                <w:rFonts w:cs="Arial"/>
                <w:b/>
                <w:sz w:val="24"/>
                <w:szCs w:val="24"/>
              </w:rPr>
              <w:t>465</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D3" w:rsidRDefault="005568D3">
            <w:pPr>
              <w:tabs>
                <w:tab w:val="left" w:pos="3615"/>
              </w:tabs>
              <w:jc w:val="center"/>
              <w:rPr>
                <w:rFonts w:cs="Arial"/>
                <w:sz w:val="24"/>
                <w:szCs w:val="24"/>
                <w:lang w:val="en-US"/>
              </w:rPr>
            </w:pPr>
            <w:r>
              <w:rPr>
                <w:rFonts w:cs="Arial"/>
                <w:sz w:val="24"/>
                <w:szCs w:val="24"/>
              </w:rPr>
              <w:t>698</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D3" w:rsidRDefault="005568D3">
            <w:pPr>
              <w:tabs>
                <w:tab w:val="left" w:pos="3615"/>
              </w:tabs>
              <w:jc w:val="center"/>
              <w:rPr>
                <w:rFonts w:cs="Arial"/>
                <w:sz w:val="24"/>
                <w:szCs w:val="24"/>
                <w:lang w:val="en-US"/>
              </w:rPr>
            </w:pPr>
            <w:r>
              <w:rPr>
                <w:rFonts w:cs="Arial"/>
                <w:sz w:val="24"/>
                <w:szCs w:val="24"/>
              </w:rPr>
              <w:t>930</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D3" w:rsidRDefault="005568D3">
            <w:pPr>
              <w:tabs>
                <w:tab w:val="left" w:pos="3615"/>
              </w:tabs>
              <w:jc w:val="center"/>
              <w:rPr>
                <w:rFonts w:cs="Arial"/>
                <w:sz w:val="24"/>
                <w:szCs w:val="24"/>
                <w:lang w:val="en-US"/>
              </w:rPr>
            </w:pPr>
            <w:r>
              <w:rPr>
                <w:rFonts w:cs="Arial"/>
                <w:sz w:val="24"/>
                <w:szCs w:val="24"/>
              </w:rPr>
              <w:t>1,1163</w:t>
            </w:r>
          </w:p>
        </w:tc>
      </w:tr>
    </w:tbl>
    <w:p w:rsidR="005568D3" w:rsidRDefault="005568D3" w:rsidP="005568D3">
      <w:pPr>
        <w:tabs>
          <w:tab w:val="left" w:pos="3615"/>
        </w:tabs>
        <w:rPr>
          <w:rFonts w:cs="Arial"/>
          <w:sz w:val="24"/>
          <w:szCs w:val="24"/>
          <w:lang w:val="en-US"/>
        </w:rPr>
      </w:pPr>
    </w:p>
    <w:p w:rsidR="005568D3" w:rsidRDefault="005568D3" w:rsidP="005568D3">
      <w:pPr>
        <w:rPr>
          <w:rFonts w:cs="Times New Roman"/>
          <w:b/>
          <w:bCs/>
          <w:sz w:val="24"/>
          <w:szCs w:val="24"/>
          <w:lang w:val="ga-IE"/>
        </w:rPr>
      </w:pPr>
      <w:r>
        <w:rPr>
          <w:b/>
          <w:bCs/>
          <w:sz w:val="24"/>
          <w:szCs w:val="24"/>
          <w:lang w:val="ga-IE"/>
        </w:rPr>
        <w:t>Private Rented Inspections 2017</w:t>
      </w:r>
    </w:p>
    <w:p w:rsidR="005568D3" w:rsidRDefault="005568D3" w:rsidP="005568D3">
      <w:pPr>
        <w:rPr>
          <w:sz w:val="24"/>
          <w:szCs w:val="24"/>
          <w:lang w:val="en-US"/>
        </w:rPr>
      </w:pPr>
      <w:r>
        <w:rPr>
          <w:rFonts w:cs="Arial"/>
          <w:sz w:val="24"/>
          <w:szCs w:val="24"/>
        </w:rPr>
        <w:t xml:space="preserve">There were </w:t>
      </w:r>
      <w:r>
        <w:rPr>
          <w:rFonts w:cs="Arial"/>
          <w:b/>
          <w:sz w:val="24"/>
          <w:szCs w:val="24"/>
        </w:rPr>
        <w:t xml:space="preserve">4,296 </w:t>
      </w:r>
      <w:r>
        <w:rPr>
          <w:rFonts w:cs="Arial"/>
          <w:sz w:val="24"/>
          <w:szCs w:val="24"/>
        </w:rPr>
        <w:t>private rental housing stock in Kilkenny City &amp; County (</w:t>
      </w:r>
      <w:r>
        <w:rPr>
          <w:bCs/>
          <w:sz w:val="24"/>
          <w:szCs w:val="24"/>
        </w:rPr>
        <w:t xml:space="preserve">September 2017). The </w:t>
      </w:r>
      <w:r>
        <w:rPr>
          <w:sz w:val="24"/>
          <w:szCs w:val="24"/>
        </w:rPr>
        <w:t>Table below outlines the inspections completed up to 31</w:t>
      </w:r>
      <w:r>
        <w:rPr>
          <w:sz w:val="24"/>
          <w:szCs w:val="24"/>
          <w:vertAlign w:val="superscript"/>
        </w:rPr>
        <w:t>st</w:t>
      </w:r>
      <w:r>
        <w:rPr>
          <w:sz w:val="24"/>
          <w:szCs w:val="24"/>
        </w:rPr>
        <w:t xml:space="preserve"> December 2017 with a comparison with previous years’ outcomes.</w:t>
      </w:r>
    </w:p>
    <w:p w:rsidR="005568D3" w:rsidRDefault="005568D3" w:rsidP="005568D3">
      <w:pPr>
        <w:rPr>
          <w:sz w:val="24"/>
          <w:szCs w:val="24"/>
        </w:rPr>
      </w:pPr>
    </w:p>
    <w:tbl>
      <w:tblPr>
        <w:tblW w:w="0" w:type="auto"/>
        <w:tblInd w:w="108" w:type="dxa"/>
        <w:tblCellMar>
          <w:left w:w="0" w:type="dxa"/>
          <w:right w:w="0" w:type="dxa"/>
        </w:tblCellMar>
        <w:tblLook w:val="04A0"/>
      </w:tblPr>
      <w:tblGrid>
        <w:gridCol w:w="1851"/>
        <w:gridCol w:w="1197"/>
        <w:gridCol w:w="1239"/>
        <w:gridCol w:w="1347"/>
        <w:gridCol w:w="1750"/>
        <w:gridCol w:w="1547"/>
      </w:tblGrid>
      <w:tr w:rsidR="005568D3" w:rsidTr="005568D3">
        <w:tc>
          <w:tcPr>
            <w:tcW w:w="1851"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5568D3" w:rsidRDefault="005568D3">
            <w:pPr>
              <w:rPr>
                <w:b/>
                <w:bCs/>
                <w:sz w:val="24"/>
                <w:szCs w:val="24"/>
                <w:lang w:val="en-US"/>
              </w:rPr>
            </w:pPr>
            <w:r>
              <w:rPr>
                <w:b/>
                <w:bCs/>
                <w:sz w:val="24"/>
                <w:szCs w:val="24"/>
              </w:rPr>
              <w:t>Private Rented</w:t>
            </w:r>
          </w:p>
          <w:p w:rsidR="005568D3" w:rsidRDefault="005568D3">
            <w:pPr>
              <w:rPr>
                <w:rFonts w:cs="Times New Roman"/>
                <w:b/>
                <w:bCs/>
                <w:sz w:val="24"/>
                <w:szCs w:val="24"/>
                <w:lang w:val="en-US"/>
              </w:rPr>
            </w:pPr>
            <w:r>
              <w:rPr>
                <w:b/>
                <w:bCs/>
                <w:sz w:val="24"/>
                <w:szCs w:val="24"/>
              </w:rPr>
              <w:t>Inspections</w:t>
            </w:r>
          </w:p>
        </w:tc>
        <w:tc>
          <w:tcPr>
            <w:tcW w:w="1197" w:type="dxa"/>
            <w:tcBorders>
              <w:top w:val="single" w:sz="4" w:space="0" w:color="auto"/>
              <w:left w:val="single" w:sz="4" w:space="0" w:color="auto"/>
              <w:bottom w:val="single" w:sz="4" w:space="0" w:color="auto"/>
              <w:right w:val="single" w:sz="4" w:space="0" w:color="auto"/>
            </w:tcBorders>
            <w:hideMark/>
          </w:tcPr>
          <w:p w:rsidR="005568D3" w:rsidRDefault="005568D3">
            <w:pPr>
              <w:rPr>
                <w:b/>
                <w:bCs/>
                <w:sz w:val="24"/>
                <w:szCs w:val="24"/>
                <w:lang w:val="en-US"/>
              </w:rPr>
            </w:pPr>
            <w:r>
              <w:rPr>
                <w:b/>
                <w:bCs/>
                <w:sz w:val="24"/>
                <w:szCs w:val="24"/>
              </w:rPr>
              <w:t>2017</w:t>
            </w:r>
          </w:p>
          <w:p w:rsidR="005568D3" w:rsidRDefault="005568D3">
            <w:pPr>
              <w:rPr>
                <w:rFonts w:cs="Times New Roman"/>
                <w:b/>
                <w:bCs/>
                <w:sz w:val="24"/>
                <w:szCs w:val="24"/>
                <w:lang w:val="en-US"/>
              </w:rPr>
            </w:pPr>
            <w:r>
              <w:rPr>
                <w:b/>
                <w:bCs/>
                <w:sz w:val="24"/>
                <w:szCs w:val="24"/>
              </w:rPr>
              <w:t>12 months</w:t>
            </w:r>
          </w:p>
        </w:tc>
        <w:tc>
          <w:tcPr>
            <w:tcW w:w="1239" w:type="dxa"/>
            <w:tcBorders>
              <w:top w:val="single" w:sz="8" w:space="0" w:color="auto"/>
              <w:left w:val="single" w:sz="4" w:space="0" w:color="auto"/>
              <w:bottom w:val="single" w:sz="8" w:space="0" w:color="auto"/>
              <w:right w:val="single" w:sz="8" w:space="0" w:color="auto"/>
            </w:tcBorders>
            <w:hideMark/>
          </w:tcPr>
          <w:p w:rsidR="005568D3" w:rsidRDefault="005568D3">
            <w:pPr>
              <w:rPr>
                <w:b/>
                <w:bCs/>
                <w:sz w:val="24"/>
                <w:szCs w:val="24"/>
                <w:lang w:val="en-US"/>
              </w:rPr>
            </w:pPr>
            <w:r>
              <w:rPr>
                <w:b/>
                <w:bCs/>
                <w:sz w:val="24"/>
                <w:szCs w:val="24"/>
              </w:rPr>
              <w:t>2016</w:t>
            </w:r>
          </w:p>
          <w:p w:rsidR="005568D3" w:rsidRDefault="005568D3">
            <w:pPr>
              <w:rPr>
                <w:rFonts w:cs="Times New Roman"/>
                <w:b/>
                <w:bCs/>
                <w:sz w:val="24"/>
                <w:szCs w:val="24"/>
                <w:lang w:val="en-US"/>
              </w:rPr>
            </w:pPr>
            <w:r>
              <w:rPr>
                <w:b/>
                <w:bCs/>
                <w:sz w:val="24"/>
                <w:szCs w:val="24"/>
              </w:rPr>
              <w:t>12 months</w:t>
            </w:r>
          </w:p>
        </w:tc>
        <w:tc>
          <w:tcPr>
            <w:tcW w:w="1347" w:type="dxa"/>
            <w:tcBorders>
              <w:top w:val="single" w:sz="8" w:space="0" w:color="auto"/>
              <w:left w:val="nil"/>
              <w:bottom w:val="single" w:sz="8" w:space="0" w:color="auto"/>
              <w:right w:val="single" w:sz="8" w:space="0" w:color="auto"/>
            </w:tcBorders>
            <w:hideMark/>
          </w:tcPr>
          <w:p w:rsidR="005568D3" w:rsidRDefault="005568D3">
            <w:pPr>
              <w:rPr>
                <w:b/>
                <w:bCs/>
                <w:sz w:val="24"/>
                <w:szCs w:val="24"/>
                <w:lang w:val="en-US"/>
              </w:rPr>
            </w:pPr>
            <w:r>
              <w:rPr>
                <w:b/>
                <w:bCs/>
                <w:sz w:val="24"/>
                <w:szCs w:val="24"/>
              </w:rPr>
              <w:t>2015</w:t>
            </w:r>
          </w:p>
          <w:p w:rsidR="005568D3" w:rsidRDefault="005568D3">
            <w:pPr>
              <w:rPr>
                <w:rFonts w:cs="Times New Roman"/>
                <w:b/>
                <w:bCs/>
                <w:sz w:val="24"/>
                <w:szCs w:val="24"/>
                <w:lang w:val="en-US"/>
              </w:rPr>
            </w:pPr>
            <w:r>
              <w:rPr>
                <w:b/>
                <w:bCs/>
                <w:sz w:val="24"/>
                <w:szCs w:val="24"/>
              </w:rPr>
              <w:t>12 months</w:t>
            </w:r>
          </w:p>
        </w:tc>
        <w:tc>
          <w:tcPr>
            <w:tcW w:w="1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568D3" w:rsidRDefault="005568D3">
            <w:pPr>
              <w:rPr>
                <w:b/>
                <w:bCs/>
                <w:sz w:val="24"/>
                <w:szCs w:val="24"/>
                <w:lang w:val="en-US"/>
              </w:rPr>
            </w:pPr>
            <w:r>
              <w:rPr>
                <w:b/>
                <w:bCs/>
                <w:sz w:val="24"/>
                <w:szCs w:val="24"/>
              </w:rPr>
              <w:t>2014</w:t>
            </w:r>
          </w:p>
          <w:p w:rsidR="005568D3" w:rsidRDefault="005568D3">
            <w:pPr>
              <w:rPr>
                <w:rFonts w:cs="Times New Roman"/>
                <w:b/>
                <w:bCs/>
                <w:sz w:val="24"/>
                <w:szCs w:val="24"/>
                <w:lang w:val="en-US"/>
              </w:rPr>
            </w:pPr>
            <w:r>
              <w:rPr>
                <w:b/>
                <w:bCs/>
                <w:sz w:val="24"/>
                <w:szCs w:val="24"/>
              </w:rPr>
              <w:t>12 months</w:t>
            </w:r>
          </w:p>
        </w:tc>
        <w:tc>
          <w:tcPr>
            <w:tcW w:w="15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568D3" w:rsidRDefault="005568D3">
            <w:pPr>
              <w:rPr>
                <w:b/>
                <w:bCs/>
                <w:sz w:val="24"/>
                <w:szCs w:val="24"/>
                <w:lang w:val="en-US"/>
              </w:rPr>
            </w:pPr>
            <w:r>
              <w:rPr>
                <w:b/>
                <w:bCs/>
                <w:sz w:val="24"/>
                <w:szCs w:val="24"/>
              </w:rPr>
              <w:t>2013</w:t>
            </w:r>
          </w:p>
          <w:p w:rsidR="005568D3" w:rsidRDefault="005568D3">
            <w:pPr>
              <w:rPr>
                <w:rFonts w:cs="Times New Roman"/>
                <w:b/>
                <w:bCs/>
                <w:sz w:val="24"/>
                <w:szCs w:val="24"/>
                <w:lang w:val="en-US"/>
              </w:rPr>
            </w:pPr>
            <w:r>
              <w:rPr>
                <w:b/>
                <w:bCs/>
                <w:sz w:val="24"/>
                <w:szCs w:val="24"/>
              </w:rPr>
              <w:t>12 months</w:t>
            </w:r>
          </w:p>
        </w:tc>
      </w:tr>
      <w:tr w:rsidR="005568D3" w:rsidTr="005568D3">
        <w:tc>
          <w:tcPr>
            <w:tcW w:w="185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5568D3" w:rsidRDefault="005568D3">
            <w:pPr>
              <w:rPr>
                <w:rFonts w:cs="Times New Roman"/>
                <w:sz w:val="24"/>
                <w:szCs w:val="24"/>
                <w:lang w:val="en-US"/>
              </w:rPr>
            </w:pPr>
            <w:r>
              <w:rPr>
                <w:sz w:val="24"/>
                <w:szCs w:val="24"/>
              </w:rPr>
              <w:t>RAS</w:t>
            </w:r>
          </w:p>
        </w:tc>
        <w:tc>
          <w:tcPr>
            <w:tcW w:w="1197" w:type="dxa"/>
            <w:tcBorders>
              <w:top w:val="single" w:sz="4" w:space="0" w:color="auto"/>
              <w:left w:val="single" w:sz="4" w:space="0" w:color="auto"/>
              <w:bottom w:val="single" w:sz="4" w:space="0" w:color="auto"/>
              <w:right w:val="single" w:sz="4" w:space="0" w:color="auto"/>
            </w:tcBorders>
            <w:hideMark/>
          </w:tcPr>
          <w:p w:rsidR="005568D3" w:rsidRDefault="005568D3">
            <w:pPr>
              <w:rPr>
                <w:rFonts w:cs="Times New Roman"/>
                <w:sz w:val="24"/>
                <w:szCs w:val="24"/>
                <w:lang w:val="en-US"/>
              </w:rPr>
            </w:pPr>
            <w:r>
              <w:rPr>
                <w:sz w:val="24"/>
                <w:szCs w:val="24"/>
              </w:rPr>
              <w:t>49</w:t>
            </w:r>
          </w:p>
        </w:tc>
        <w:tc>
          <w:tcPr>
            <w:tcW w:w="1239" w:type="dxa"/>
            <w:tcBorders>
              <w:top w:val="nil"/>
              <w:left w:val="single" w:sz="4" w:space="0" w:color="auto"/>
              <w:bottom w:val="single" w:sz="8" w:space="0" w:color="auto"/>
              <w:right w:val="single" w:sz="8" w:space="0" w:color="auto"/>
            </w:tcBorders>
            <w:hideMark/>
          </w:tcPr>
          <w:p w:rsidR="005568D3" w:rsidRDefault="005568D3">
            <w:pPr>
              <w:rPr>
                <w:rFonts w:cs="Times New Roman"/>
                <w:sz w:val="24"/>
                <w:szCs w:val="24"/>
                <w:lang w:val="en-US"/>
              </w:rPr>
            </w:pPr>
            <w:r>
              <w:rPr>
                <w:sz w:val="24"/>
                <w:szCs w:val="24"/>
              </w:rPr>
              <w:t>100</w:t>
            </w:r>
          </w:p>
        </w:tc>
        <w:tc>
          <w:tcPr>
            <w:tcW w:w="1347" w:type="dxa"/>
            <w:tcBorders>
              <w:top w:val="nil"/>
              <w:left w:val="nil"/>
              <w:bottom w:val="single" w:sz="8" w:space="0" w:color="auto"/>
              <w:right w:val="single" w:sz="8" w:space="0" w:color="auto"/>
            </w:tcBorders>
            <w:hideMark/>
          </w:tcPr>
          <w:p w:rsidR="005568D3" w:rsidRDefault="005568D3">
            <w:pPr>
              <w:rPr>
                <w:rFonts w:cs="Times New Roman"/>
                <w:sz w:val="24"/>
                <w:szCs w:val="24"/>
                <w:lang w:val="en-US"/>
              </w:rPr>
            </w:pPr>
            <w:r>
              <w:rPr>
                <w:sz w:val="24"/>
                <w:szCs w:val="24"/>
              </w:rPr>
              <w:t>115</w:t>
            </w:r>
          </w:p>
        </w:tc>
        <w:tc>
          <w:tcPr>
            <w:tcW w:w="1750" w:type="dxa"/>
            <w:tcBorders>
              <w:top w:val="nil"/>
              <w:left w:val="nil"/>
              <w:bottom w:val="single" w:sz="8" w:space="0" w:color="auto"/>
              <w:right w:val="single" w:sz="8" w:space="0" w:color="auto"/>
            </w:tcBorders>
            <w:tcMar>
              <w:top w:w="0" w:type="dxa"/>
              <w:left w:w="108" w:type="dxa"/>
              <w:bottom w:w="0" w:type="dxa"/>
              <w:right w:w="108" w:type="dxa"/>
            </w:tcMar>
            <w:hideMark/>
          </w:tcPr>
          <w:p w:rsidR="005568D3" w:rsidRDefault="005568D3">
            <w:pPr>
              <w:rPr>
                <w:rFonts w:cs="Times New Roman"/>
                <w:sz w:val="24"/>
                <w:szCs w:val="24"/>
                <w:lang w:val="en-US"/>
              </w:rPr>
            </w:pPr>
            <w:r>
              <w:rPr>
                <w:sz w:val="24"/>
                <w:szCs w:val="24"/>
              </w:rPr>
              <w:t>116</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rsidR="005568D3" w:rsidRDefault="005568D3">
            <w:pPr>
              <w:rPr>
                <w:rFonts w:cs="Times New Roman"/>
                <w:sz w:val="24"/>
                <w:szCs w:val="24"/>
                <w:lang w:val="en-US"/>
              </w:rPr>
            </w:pPr>
            <w:r>
              <w:rPr>
                <w:sz w:val="24"/>
                <w:szCs w:val="24"/>
              </w:rPr>
              <w:t>233</w:t>
            </w:r>
          </w:p>
        </w:tc>
      </w:tr>
      <w:tr w:rsidR="005568D3" w:rsidTr="005568D3">
        <w:tc>
          <w:tcPr>
            <w:tcW w:w="185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5568D3" w:rsidRDefault="005568D3">
            <w:pPr>
              <w:rPr>
                <w:rFonts w:cs="Times New Roman"/>
                <w:sz w:val="24"/>
                <w:szCs w:val="24"/>
                <w:lang w:val="en-US"/>
              </w:rPr>
            </w:pPr>
            <w:r>
              <w:rPr>
                <w:sz w:val="24"/>
                <w:szCs w:val="24"/>
              </w:rPr>
              <w:t>HAP</w:t>
            </w:r>
          </w:p>
        </w:tc>
        <w:tc>
          <w:tcPr>
            <w:tcW w:w="1197" w:type="dxa"/>
            <w:tcBorders>
              <w:top w:val="single" w:sz="4" w:space="0" w:color="auto"/>
              <w:left w:val="single" w:sz="4" w:space="0" w:color="auto"/>
              <w:bottom w:val="single" w:sz="4" w:space="0" w:color="auto"/>
              <w:right w:val="single" w:sz="4" w:space="0" w:color="auto"/>
            </w:tcBorders>
            <w:hideMark/>
          </w:tcPr>
          <w:p w:rsidR="005568D3" w:rsidRDefault="005568D3">
            <w:pPr>
              <w:rPr>
                <w:rFonts w:cs="Times New Roman"/>
                <w:sz w:val="24"/>
                <w:szCs w:val="24"/>
                <w:lang w:val="en-US"/>
              </w:rPr>
            </w:pPr>
            <w:r>
              <w:rPr>
                <w:sz w:val="24"/>
                <w:szCs w:val="24"/>
              </w:rPr>
              <w:t>440</w:t>
            </w:r>
          </w:p>
        </w:tc>
        <w:tc>
          <w:tcPr>
            <w:tcW w:w="1239" w:type="dxa"/>
            <w:tcBorders>
              <w:top w:val="nil"/>
              <w:left w:val="single" w:sz="4" w:space="0" w:color="auto"/>
              <w:bottom w:val="single" w:sz="8" w:space="0" w:color="auto"/>
              <w:right w:val="single" w:sz="8" w:space="0" w:color="auto"/>
            </w:tcBorders>
            <w:hideMark/>
          </w:tcPr>
          <w:p w:rsidR="005568D3" w:rsidRDefault="005568D3">
            <w:pPr>
              <w:rPr>
                <w:rFonts w:cs="Times New Roman"/>
                <w:sz w:val="24"/>
                <w:szCs w:val="24"/>
                <w:lang w:val="en-US"/>
              </w:rPr>
            </w:pPr>
            <w:r>
              <w:rPr>
                <w:sz w:val="24"/>
                <w:szCs w:val="24"/>
              </w:rPr>
              <w:t>279</w:t>
            </w:r>
          </w:p>
        </w:tc>
        <w:tc>
          <w:tcPr>
            <w:tcW w:w="1347" w:type="dxa"/>
            <w:tcBorders>
              <w:top w:val="nil"/>
              <w:left w:val="nil"/>
              <w:bottom w:val="single" w:sz="8" w:space="0" w:color="auto"/>
              <w:right w:val="single" w:sz="8" w:space="0" w:color="auto"/>
            </w:tcBorders>
            <w:hideMark/>
          </w:tcPr>
          <w:p w:rsidR="005568D3" w:rsidRDefault="005568D3">
            <w:pPr>
              <w:rPr>
                <w:rFonts w:cs="Times New Roman"/>
                <w:sz w:val="24"/>
                <w:szCs w:val="24"/>
                <w:lang w:val="en-US"/>
              </w:rPr>
            </w:pPr>
            <w:r>
              <w:rPr>
                <w:sz w:val="24"/>
                <w:szCs w:val="24"/>
              </w:rPr>
              <w:t>211</w:t>
            </w:r>
          </w:p>
        </w:tc>
        <w:tc>
          <w:tcPr>
            <w:tcW w:w="1750" w:type="dxa"/>
            <w:tcBorders>
              <w:top w:val="nil"/>
              <w:left w:val="nil"/>
              <w:bottom w:val="single" w:sz="8" w:space="0" w:color="auto"/>
              <w:right w:val="single" w:sz="8" w:space="0" w:color="auto"/>
            </w:tcBorders>
            <w:tcMar>
              <w:top w:w="0" w:type="dxa"/>
              <w:left w:w="108" w:type="dxa"/>
              <w:bottom w:w="0" w:type="dxa"/>
              <w:right w:w="108" w:type="dxa"/>
            </w:tcMar>
            <w:hideMark/>
          </w:tcPr>
          <w:p w:rsidR="005568D3" w:rsidRDefault="005568D3">
            <w:pPr>
              <w:rPr>
                <w:rFonts w:cs="Times New Roman"/>
                <w:sz w:val="24"/>
                <w:szCs w:val="24"/>
                <w:lang w:val="en-US"/>
              </w:rPr>
            </w:pPr>
            <w:r>
              <w:rPr>
                <w:sz w:val="24"/>
                <w:szCs w:val="24"/>
              </w:rPr>
              <w:t>0</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rsidR="005568D3" w:rsidRDefault="005568D3">
            <w:pPr>
              <w:rPr>
                <w:rFonts w:cs="Times New Roman"/>
                <w:sz w:val="24"/>
                <w:szCs w:val="24"/>
                <w:lang w:val="en-US"/>
              </w:rPr>
            </w:pPr>
            <w:r>
              <w:rPr>
                <w:sz w:val="24"/>
                <w:szCs w:val="24"/>
              </w:rPr>
              <w:t>0</w:t>
            </w:r>
          </w:p>
        </w:tc>
      </w:tr>
      <w:tr w:rsidR="005568D3" w:rsidTr="005568D3">
        <w:tc>
          <w:tcPr>
            <w:tcW w:w="185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5568D3" w:rsidRDefault="005568D3">
            <w:pPr>
              <w:rPr>
                <w:rFonts w:cs="Times New Roman"/>
                <w:sz w:val="24"/>
                <w:szCs w:val="24"/>
                <w:lang w:val="en-US"/>
              </w:rPr>
            </w:pPr>
            <w:r>
              <w:rPr>
                <w:sz w:val="24"/>
                <w:szCs w:val="24"/>
              </w:rPr>
              <w:t>Private</w:t>
            </w:r>
          </w:p>
        </w:tc>
        <w:tc>
          <w:tcPr>
            <w:tcW w:w="1197" w:type="dxa"/>
            <w:tcBorders>
              <w:top w:val="single" w:sz="4" w:space="0" w:color="auto"/>
              <w:left w:val="single" w:sz="4" w:space="0" w:color="auto"/>
              <w:bottom w:val="single" w:sz="4" w:space="0" w:color="auto"/>
              <w:right w:val="single" w:sz="4" w:space="0" w:color="auto"/>
            </w:tcBorders>
            <w:hideMark/>
          </w:tcPr>
          <w:p w:rsidR="005568D3" w:rsidRDefault="005568D3">
            <w:pPr>
              <w:rPr>
                <w:rFonts w:cs="Times New Roman"/>
                <w:sz w:val="24"/>
                <w:szCs w:val="24"/>
                <w:lang w:val="en-US"/>
              </w:rPr>
            </w:pPr>
            <w:r>
              <w:rPr>
                <w:sz w:val="24"/>
                <w:szCs w:val="24"/>
              </w:rPr>
              <w:t>7</w:t>
            </w:r>
          </w:p>
        </w:tc>
        <w:tc>
          <w:tcPr>
            <w:tcW w:w="1239" w:type="dxa"/>
            <w:tcBorders>
              <w:top w:val="nil"/>
              <w:left w:val="single" w:sz="4" w:space="0" w:color="auto"/>
              <w:bottom w:val="single" w:sz="8" w:space="0" w:color="auto"/>
              <w:right w:val="single" w:sz="8" w:space="0" w:color="auto"/>
            </w:tcBorders>
            <w:hideMark/>
          </w:tcPr>
          <w:p w:rsidR="005568D3" w:rsidRDefault="005568D3">
            <w:pPr>
              <w:rPr>
                <w:rFonts w:cs="Times New Roman"/>
                <w:sz w:val="24"/>
                <w:szCs w:val="24"/>
                <w:lang w:val="en-US"/>
              </w:rPr>
            </w:pPr>
            <w:r>
              <w:rPr>
                <w:sz w:val="24"/>
                <w:szCs w:val="24"/>
              </w:rPr>
              <w:t>35</w:t>
            </w:r>
          </w:p>
        </w:tc>
        <w:tc>
          <w:tcPr>
            <w:tcW w:w="1347" w:type="dxa"/>
            <w:tcBorders>
              <w:top w:val="nil"/>
              <w:left w:val="nil"/>
              <w:bottom w:val="single" w:sz="8" w:space="0" w:color="auto"/>
              <w:right w:val="single" w:sz="8" w:space="0" w:color="auto"/>
            </w:tcBorders>
            <w:hideMark/>
          </w:tcPr>
          <w:p w:rsidR="005568D3" w:rsidRDefault="005568D3">
            <w:pPr>
              <w:rPr>
                <w:rFonts w:cs="Times New Roman"/>
                <w:sz w:val="24"/>
                <w:szCs w:val="24"/>
                <w:lang w:val="en-US"/>
              </w:rPr>
            </w:pPr>
            <w:r>
              <w:rPr>
                <w:sz w:val="24"/>
                <w:szCs w:val="24"/>
              </w:rPr>
              <w:t>11</w:t>
            </w:r>
          </w:p>
        </w:tc>
        <w:tc>
          <w:tcPr>
            <w:tcW w:w="1750" w:type="dxa"/>
            <w:tcBorders>
              <w:top w:val="nil"/>
              <w:left w:val="nil"/>
              <w:bottom w:val="single" w:sz="8" w:space="0" w:color="auto"/>
              <w:right w:val="single" w:sz="8" w:space="0" w:color="auto"/>
            </w:tcBorders>
            <w:tcMar>
              <w:top w:w="0" w:type="dxa"/>
              <w:left w:w="108" w:type="dxa"/>
              <w:bottom w:w="0" w:type="dxa"/>
              <w:right w:w="108" w:type="dxa"/>
            </w:tcMar>
            <w:hideMark/>
          </w:tcPr>
          <w:p w:rsidR="005568D3" w:rsidRDefault="005568D3">
            <w:pPr>
              <w:rPr>
                <w:rFonts w:cs="Times New Roman"/>
                <w:sz w:val="24"/>
                <w:szCs w:val="24"/>
                <w:lang w:val="en-US"/>
              </w:rPr>
            </w:pPr>
            <w:r>
              <w:rPr>
                <w:sz w:val="24"/>
                <w:szCs w:val="24"/>
              </w:rPr>
              <w:t>228</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rsidR="005568D3" w:rsidRDefault="005568D3">
            <w:pPr>
              <w:rPr>
                <w:rFonts w:cs="Times New Roman"/>
                <w:sz w:val="24"/>
                <w:szCs w:val="24"/>
                <w:lang w:val="en-US"/>
              </w:rPr>
            </w:pPr>
            <w:r>
              <w:rPr>
                <w:sz w:val="24"/>
                <w:szCs w:val="24"/>
              </w:rPr>
              <w:t>2</w:t>
            </w:r>
          </w:p>
        </w:tc>
      </w:tr>
      <w:tr w:rsidR="005568D3" w:rsidTr="005568D3">
        <w:tc>
          <w:tcPr>
            <w:tcW w:w="185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5568D3" w:rsidRDefault="005568D3">
            <w:pPr>
              <w:rPr>
                <w:rFonts w:cs="Times New Roman"/>
                <w:sz w:val="24"/>
                <w:szCs w:val="24"/>
                <w:lang w:val="en-US"/>
              </w:rPr>
            </w:pPr>
            <w:r>
              <w:rPr>
                <w:sz w:val="24"/>
                <w:szCs w:val="24"/>
              </w:rPr>
              <w:t>Follow Up</w:t>
            </w:r>
          </w:p>
        </w:tc>
        <w:tc>
          <w:tcPr>
            <w:tcW w:w="1197" w:type="dxa"/>
            <w:tcBorders>
              <w:top w:val="single" w:sz="4" w:space="0" w:color="auto"/>
              <w:left w:val="single" w:sz="4" w:space="0" w:color="auto"/>
              <w:bottom w:val="single" w:sz="4" w:space="0" w:color="auto"/>
              <w:right w:val="single" w:sz="4" w:space="0" w:color="auto"/>
            </w:tcBorders>
            <w:hideMark/>
          </w:tcPr>
          <w:p w:rsidR="005568D3" w:rsidRDefault="005568D3">
            <w:pPr>
              <w:rPr>
                <w:rFonts w:cs="Times New Roman"/>
                <w:sz w:val="24"/>
                <w:szCs w:val="24"/>
                <w:lang w:val="en-US"/>
              </w:rPr>
            </w:pPr>
            <w:r>
              <w:rPr>
                <w:sz w:val="24"/>
                <w:szCs w:val="24"/>
              </w:rPr>
              <w:t>405</w:t>
            </w:r>
          </w:p>
        </w:tc>
        <w:tc>
          <w:tcPr>
            <w:tcW w:w="1239" w:type="dxa"/>
            <w:tcBorders>
              <w:top w:val="nil"/>
              <w:left w:val="single" w:sz="4" w:space="0" w:color="auto"/>
              <w:bottom w:val="single" w:sz="8" w:space="0" w:color="auto"/>
              <w:right w:val="single" w:sz="8" w:space="0" w:color="auto"/>
            </w:tcBorders>
            <w:hideMark/>
          </w:tcPr>
          <w:p w:rsidR="005568D3" w:rsidRDefault="005568D3">
            <w:pPr>
              <w:rPr>
                <w:rFonts w:cs="Times New Roman"/>
                <w:sz w:val="24"/>
                <w:szCs w:val="24"/>
                <w:lang w:val="en-US"/>
              </w:rPr>
            </w:pPr>
            <w:r>
              <w:rPr>
                <w:sz w:val="24"/>
                <w:szCs w:val="24"/>
              </w:rPr>
              <w:t>0</w:t>
            </w:r>
          </w:p>
        </w:tc>
        <w:tc>
          <w:tcPr>
            <w:tcW w:w="1347" w:type="dxa"/>
            <w:tcBorders>
              <w:top w:val="nil"/>
              <w:left w:val="nil"/>
              <w:bottom w:val="single" w:sz="8" w:space="0" w:color="auto"/>
              <w:right w:val="single" w:sz="8" w:space="0" w:color="auto"/>
            </w:tcBorders>
            <w:hideMark/>
          </w:tcPr>
          <w:p w:rsidR="005568D3" w:rsidRDefault="005568D3">
            <w:pPr>
              <w:rPr>
                <w:rFonts w:cs="Times New Roman"/>
                <w:sz w:val="24"/>
                <w:szCs w:val="24"/>
                <w:lang w:val="en-US"/>
              </w:rPr>
            </w:pPr>
            <w:r>
              <w:rPr>
                <w:sz w:val="24"/>
                <w:szCs w:val="24"/>
              </w:rPr>
              <w:t>35</w:t>
            </w:r>
          </w:p>
        </w:tc>
        <w:tc>
          <w:tcPr>
            <w:tcW w:w="1750" w:type="dxa"/>
            <w:tcBorders>
              <w:top w:val="nil"/>
              <w:left w:val="nil"/>
              <w:bottom w:val="single" w:sz="8" w:space="0" w:color="auto"/>
              <w:right w:val="single" w:sz="8" w:space="0" w:color="auto"/>
            </w:tcBorders>
            <w:tcMar>
              <w:top w:w="0" w:type="dxa"/>
              <w:left w:w="108" w:type="dxa"/>
              <w:bottom w:w="0" w:type="dxa"/>
              <w:right w:w="108" w:type="dxa"/>
            </w:tcMar>
            <w:hideMark/>
          </w:tcPr>
          <w:p w:rsidR="005568D3" w:rsidRDefault="005568D3">
            <w:pPr>
              <w:rPr>
                <w:rFonts w:cs="Times New Roman"/>
                <w:sz w:val="24"/>
                <w:szCs w:val="24"/>
                <w:lang w:val="en-US"/>
              </w:rPr>
            </w:pPr>
            <w:r>
              <w:rPr>
                <w:sz w:val="24"/>
                <w:szCs w:val="24"/>
              </w:rPr>
              <w:t>37</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rsidR="005568D3" w:rsidRDefault="005568D3">
            <w:pPr>
              <w:rPr>
                <w:rFonts w:cs="Times New Roman"/>
                <w:sz w:val="24"/>
                <w:szCs w:val="24"/>
                <w:lang w:val="en-US"/>
              </w:rPr>
            </w:pPr>
            <w:r>
              <w:rPr>
                <w:sz w:val="24"/>
                <w:szCs w:val="24"/>
              </w:rPr>
              <w:t>0</w:t>
            </w:r>
          </w:p>
        </w:tc>
      </w:tr>
      <w:tr w:rsidR="005568D3" w:rsidTr="005568D3">
        <w:tc>
          <w:tcPr>
            <w:tcW w:w="185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5568D3" w:rsidRDefault="005568D3">
            <w:pPr>
              <w:rPr>
                <w:rFonts w:cs="Times New Roman"/>
                <w:b/>
                <w:sz w:val="24"/>
                <w:szCs w:val="24"/>
                <w:lang w:val="en-US"/>
              </w:rPr>
            </w:pPr>
            <w:r>
              <w:rPr>
                <w:b/>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5568D3" w:rsidRDefault="005568D3">
            <w:pPr>
              <w:rPr>
                <w:rFonts w:cs="Times New Roman"/>
                <w:b/>
                <w:bCs/>
                <w:sz w:val="24"/>
                <w:szCs w:val="24"/>
                <w:lang w:val="en-US"/>
              </w:rPr>
            </w:pPr>
            <w:r>
              <w:rPr>
                <w:b/>
                <w:bCs/>
                <w:sz w:val="24"/>
                <w:szCs w:val="24"/>
              </w:rPr>
              <w:t>901</w:t>
            </w:r>
          </w:p>
        </w:tc>
        <w:tc>
          <w:tcPr>
            <w:tcW w:w="1239" w:type="dxa"/>
            <w:tcBorders>
              <w:top w:val="nil"/>
              <w:left w:val="single" w:sz="4" w:space="0" w:color="auto"/>
              <w:bottom w:val="single" w:sz="8" w:space="0" w:color="auto"/>
              <w:right w:val="single" w:sz="8" w:space="0" w:color="auto"/>
            </w:tcBorders>
            <w:hideMark/>
          </w:tcPr>
          <w:p w:rsidR="005568D3" w:rsidRDefault="005568D3">
            <w:pPr>
              <w:rPr>
                <w:rFonts w:cs="Times New Roman"/>
                <w:b/>
                <w:sz w:val="24"/>
                <w:szCs w:val="24"/>
                <w:lang w:val="en-US"/>
              </w:rPr>
            </w:pPr>
            <w:r>
              <w:rPr>
                <w:b/>
                <w:sz w:val="24"/>
                <w:szCs w:val="24"/>
              </w:rPr>
              <w:t>414</w:t>
            </w:r>
          </w:p>
        </w:tc>
        <w:tc>
          <w:tcPr>
            <w:tcW w:w="1347" w:type="dxa"/>
            <w:tcBorders>
              <w:top w:val="nil"/>
              <w:left w:val="nil"/>
              <w:bottom w:val="single" w:sz="8" w:space="0" w:color="auto"/>
              <w:right w:val="single" w:sz="8" w:space="0" w:color="auto"/>
            </w:tcBorders>
            <w:hideMark/>
          </w:tcPr>
          <w:p w:rsidR="005568D3" w:rsidRDefault="005568D3">
            <w:pPr>
              <w:rPr>
                <w:rFonts w:cs="Times New Roman"/>
                <w:b/>
                <w:sz w:val="24"/>
                <w:szCs w:val="24"/>
                <w:lang w:val="en-US"/>
              </w:rPr>
            </w:pPr>
            <w:r>
              <w:rPr>
                <w:b/>
                <w:sz w:val="24"/>
                <w:szCs w:val="24"/>
              </w:rPr>
              <w:t>372</w:t>
            </w:r>
          </w:p>
        </w:tc>
        <w:tc>
          <w:tcPr>
            <w:tcW w:w="1750" w:type="dxa"/>
            <w:tcBorders>
              <w:top w:val="nil"/>
              <w:left w:val="nil"/>
              <w:bottom w:val="single" w:sz="8" w:space="0" w:color="auto"/>
              <w:right w:val="single" w:sz="8" w:space="0" w:color="auto"/>
            </w:tcBorders>
            <w:tcMar>
              <w:top w:w="0" w:type="dxa"/>
              <w:left w:w="108" w:type="dxa"/>
              <w:bottom w:w="0" w:type="dxa"/>
              <w:right w:w="108" w:type="dxa"/>
            </w:tcMar>
            <w:hideMark/>
          </w:tcPr>
          <w:p w:rsidR="005568D3" w:rsidRDefault="005568D3">
            <w:pPr>
              <w:rPr>
                <w:rFonts w:cs="Times New Roman"/>
                <w:b/>
                <w:sz w:val="24"/>
                <w:szCs w:val="24"/>
                <w:lang w:val="en-US"/>
              </w:rPr>
            </w:pPr>
            <w:r>
              <w:rPr>
                <w:b/>
                <w:sz w:val="24"/>
                <w:szCs w:val="24"/>
              </w:rPr>
              <w:t>381</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rsidR="005568D3" w:rsidRDefault="005568D3">
            <w:pPr>
              <w:rPr>
                <w:rFonts w:cs="Times New Roman"/>
                <w:b/>
                <w:sz w:val="24"/>
                <w:szCs w:val="24"/>
                <w:lang w:val="en-US"/>
              </w:rPr>
            </w:pPr>
            <w:r>
              <w:rPr>
                <w:b/>
                <w:sz w:val="24"/>
                <w:szCs w:val="24"/>
              </w:rPr>
              <w:t>235</w:t>
            </w:r>
          </w:p>
        </w:tc>
      </w:tr>
    </w:tbl>
    <w:p w:rsidR="000B0989" w:rsidRDefault="000B0989" w:rsidP="005568D3">
      <w:pPr>
        <w:rPr>
          <w:sz w:val="24"/>
          <w:szCs w:val="24"/>
        </w:rPr>
      </w:pPr>
    </w:p>
    <w:p w:rsidR="005568D3" w:rsidRDefault="005568D3" w:rsidP="005568D3">
      <w:pPr>
        <w:rPr>
          <w:sz w:val="24"/>
          <w:szCs w:val="24"/>
        </w:rPr>
      </w:pPr>
      <w:r>
        <w:rPr>
          <w:sz w:val="24"/>
          <w:szCs w:val="24"/>
        </w:rPr>
        <w:t>The tar</w:t>
      </w:r>
      <w:r w:rsidR="000B0989">
        <w:rPr>
          <w:sz w:val="24"/>
          <w:szCs w:val="24"/>
        </w:rPr>
        <w:t>get for 2017 was 790 and 114% inspections were</w:t>
      </w:r>
      <w:r>
        <w:rPr>
          <w:sz w:val="24"/>
          <w:szCs w:val="24"/>
        </w:rPr>
        <w:t xml:space="preserve"> achieved </w:t>
      </w:r>
    </w:p>
    <w:p w:rsidR="005568D3" w:rsidRDefault="005568D3" w:rsidP="005568D3">
      <w:pPr>
        <w:tabs>
          <w:tab w:val="left" w:pos="3615"/>
        </w:tabs>
        <w:rPr>
          <w:rFonts w:cs="Arial"/>
          <w:sz w:val="24"/>
          <w:szCs w:val="24"/>
        </w:rPr>
      </w:pPr>
    </w:p>
    <w:p w:rsidR="000B0989" w:rsidRDefault="000B0989" w:rsidP="005568D3">
      <w:pPr>
        <w:tabs>
          <w:tab w:val="left" w:pos="3615"/>
        </w:tabs>
        <w:rPr>
          <w:rFonts w:cs="Arial"/>
          <w:sz w:val="24"/>
          <w:szCs w:val="24"/>
        </w:rPr>
      </w:pPr>
    </w:p>
    <w:p w:rsidR="000B0989" w:rsidRDefault="000B0989" w:rsidP="005568D3">
      <w:pPr>
        <w:tabs>
          <w:tab w:val="left" w:pos="3615"/>
        </w:tabs>
        <w:rPr>
          <w:rFonts w:cs="Arial"/>
          <w:sz w:val="24"/>
          <w:szCs w:val="24"/>
        </w:rPr>
      </w:pPr>
    </w:p>
    <w:p w:rsidR="000B0989" w:rsidRDefault="000B0989" w:rsidP="005568D3">
      <w:pPr>
        <w:tabs>
          <w:tab w:val="left" w:pos="3615"/>
        </w:tabs>
        <w:rPr>
          <w:rFonts w:cs="Arial"/>
          <w:sz w:val="24"/>
          <w:szCs w:val="24"/>
        </w:rPr>
      </w:pPr>
    </w:p>
    <w:p w:rsidR="000B0989" w:rsidRDefault="000B0989" w:rsidP="005568D3">
      <w:pPr>
        <w:tabs>
          <w:tab w:val="left" w:pos="3615"/>
        </w:tabs>
        <w:rPr>
          <w:rFonts w:cs="Arial"/>
          <w:sz w:val="24"/>
          <w:szCs w:val="24"/>
        </w:rPr>
      </w:pPr>
    </w:p>
    <w:p w:rsidR="005568D3" w:rsidRDefault="005568D3" w:rsidP="005568D3">
      <w:pPr>
        <w:tabs>
          <w:tab w:val="left" w:pos="3615"/>
        </w:tabs>
        <w:rPr>
          <w:rFonts w:cs="Arial"/>
          <w:sz w:val="24"/>
          <w:szCs w:val="24"/>
        </w:rPr>
      </w:pPr>
      <w:r>
        <w:rPr>
          <w:rFonts w:cs="Arial"/>
          <w:sz w:val="24"/>
          <w:szCs w:val="24"/>
        </w:rPr>
        <w:lastRenderedPageBreak/>
        <w:t xml:space="preserve">To meet the targets set out by the Department for 2018 and to meet our obligations to tackle backlogs in RAS/HAP inspections the following </w:t>
      </w:r>
      <w:proofErr w:type="spellStart"/>
      <w:r>
        <w:rPr>
          <w:rFonts w:cs="Arial"/>
          <w:sz w:val="24"/>
          <w:szCs w:val="24"/>
        </w:rPr>
        <w:t>Workplan</w:t>
      </w:r>
      <w:proofErr w:type="spellEnd"/>
      <w:r>
        <w:rPr>
          <w:rFonts w:cs="Arial"/>
          <w:sz w:val="24"/>
          <w:szCs w:val="24"/>
        </w:rPr>
        <w:t xml:space="preserve"> is proposed;</w:t>
      </w:r>
    </w:p>
    <w:tbl>
      <w:tblPr>
        <w:tblStyle w:val="TableGrid"/>
        <w:tblW w:w="0" w:type="auto"/>
        <w:tblLook w:val="04A0"/>
      </w:tblPr>
      <w:tblGrid>
        <w:gridCol w:w="2536"/>
        <w:gridCol w:w="1034"/>
        <w:gridCol w:w="5672"/>
      </w:tblGrid>
      <w:tr w:rsidR="005568D3" w:rsidTr="005568D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D3" w:rsidRDefault="005568D3">
            <w:pPr>
              <w:rPr>
                <w:rFonts w:cs="Arial"/>
                <w:b/>
                <w:sz w:val="24"/>
                <w:szCs w:val="24"/>
                <w:lang w:val="en-US"/>
              </w:rPr>
            </w:pPr>
            <w:r>
              <w:rPr>
                <w:rFonts w:cs="Arial"/>
                <w:b/>
                <w:sz w:val="24"/>
                <w:szCs w:val="24"/>
              </w:rPr>
              <w:t>Type of Rented Accommodation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D3" w:rsidRDefault="005568D3">
            <w:pPr>
              <w:rPr>
                <w:rFonts w:cs="Arial"/>
                <w:b/>
                <w:sz w:val="24"/>
                <w:szCs w:val="24"/>
                <w:lang w:val="en-US"/>
              </w:rPr>
            </w:pPr>
            <w:r>
              <w:rPr>
                <w:rFonts w:cs="Arial"/>
                <w:b/>
                <w:sz w:val="24"/>
                <w:szCs w:val="24"/>
              </w:rPr>
              <w:t>Number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D3" w:rsidRDefault="005568D3">
            <w:pPr>
              <w:rPr>
                <w:rFonts w:cs="Arial"/>
                <w:b/>
                <w:sz w:val="24"/>
                <w:szCs w:val="24"/>
                <w:lang w:val="en-US"/>
              </w:rPr>
            </w:pPr>
            <w:r>
              <w:rPr>
                <w:rFonts w:cs="Arial"/>
                <w:b/>
                <w:sz w:val="24"/>
                <w:szCs w:val="24"/>
              </w:rPr>
              <w:t>Geographic Area</w:t>
            </w:r>
          </w:p>
        </w:tc>
      </w:tr>
      <w:tr w:rsidR="005568D3" w:rsidTr="005568D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D3" w:rsidRDefault="005568D3">
            <w:pPr>
              <w:rPr>
                <w:rFonts w:cs="Arial"/>
                <w:sz w:val="24"/>
                <w:szCs w:val="24"/>
                <w:lang w:val="en-US"/>
              </w:rPr>
            </w:pPr>
            <w:r>
              <w:rPr>
                <w:rFonts w:cs="Arial"/>
                <w:sz w:val="24"/>
                <w:szCs w:val="24"/>
              </w:rPr>
              <w:t>RAS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D3" w:rsidRDefault="005568D3">
            <w:pPr>
              <w:rPr>
                <w:rFonts w:cs="Arial"/>
                <w:sz w:val="24"/>
                <w:szCs w:val="24"/>
                <w:lang w:val="en-US"/>
              </w:rPr>
            </w:pPr>
            <w:r>
              <w:rPr>
                <w:rFonts w:cs="Arial"/>
                <w:sz w:val="24"/>
                <w:szCs w:val="24"/>
              </w:rPr>
              <w:t>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D3" w:rsidRDefault="005568D3">
            <w:pPr>
              <w:rPr>
                <w:rFonts w:cs="Arial"/>
                <w:sz w:val="24"/>
                <w:szCs w:val="24"/>
                <w:lang w:val="en-US"/>
              </w:rPr>
            </w:pPr>
            <w:r>
              <w:rPr>
                <w:rFonts w:cs="Arial"/>
                <w:sz w:val="24"/>
                <w:szCs w:val="24"/>
              </w:rPr>
              <w:t xml:space="preserve">Kilkenny City &amp; Environs mainly and the main towns of </w:t>
            </w:r>
            <w:proofErr w:type="spellStart"/>
            <w:r>
              <w:rPr>
                <w:rFonts w:cs="Arial"/>
                <w:sz w:val="24"/>
                <w:szCs w:val="24"/>
              </w:rPr>
              <w:t>Thomastown</w:t>
            </w:r>
            <w:proofErr w:type="spellEnd"/>
            <w:r>
              <w:rPr>
                <w:rFonts w:cs="Arial"/>
                <w:sz w:val="24"/>
                <w:szCs w:val="24"/>
              </w:rPr>
              <w:t xml:space="preserve">, </w:t>
            </w:r>
            <w:proofErr w:type="spellStart"/>
            <w:r>
              <w:rPr>
                <w:rFonts w:cs="Arial"/>
                <w:sz w:val="24"/>
                <w:szCs w:val="24"/>
              </w:rPr>
              <w:t>Graiguenamanagh</w:t>
            </w:r>
            <w:proofErr w:type="spellEnd"/>
            <w:r>
              <w:rPr>
                <w:rFonts w:cs="Arial"/>
                <w:sz w:val="24"/>
                <w:szCs w:val="24"/>
              </w:rPr>
              <w:t xml:space="preserve">, </w:t>
            </w:r>
            <w:proofErr w:type="spellStart"/>
            <w:r>
              <w:rPr>
                <w:rFonts w:cs="Arial"/>
                <w:sz w:val="24"/>
                <w:szCs w:val="24"/>
              </w:rPr>
              <w:t>Callan</w:t>
            </w:r>
            <w:proofErr w:type="spellEnd"/>
            <w:r>
              <w:rPr>
                <w:rFonts w:cs="Arial"/>
                <w:sz w:val="24"/>
                <w:szCs w:val="24"/>
              </w:rPr>
              <w:t xml:space="preserve">, </w:t>
            </w:r>
            <w:proofErr w:type="spellStart"/>
            <w:r>
              <w:rPr>
                <w:rFonts w:cs="Arial"/>
                <w:sz w:val="24"/>
                <w:szCs w:val="24"/>
              </w:rPr>
              <w:t>Castlecomer</w:t>
            </w:r>
            <w:proofErr w:type="spellEnd"/>
            <w:r>
              <w:rPr>
                <w:rFonts w:cs="Arial"/>
                <w:sz w:val="24"/>
                <w:szCs w:val="24"/>
              </w:rPr>
              <w:t>.</w:t>
            </w:r>
          </w:p>
        </w:tc>
      </w:tr>
      <w:tr w:rsidR="005568D3" w:rsidTr="005568D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D3" w:rsidRDefault="005568D3">
            <w:pPr>
              <w:rPr>
                <w:rFonts w:cs="Arial"/>
                <w:sz w:val="24"/>
                <w:szCs w:val="24"/>
                <w:lang w:val="en-US"/>
              </w:rPr>
            </w:pPr>
            <w:r>
              <w:rPr>
                <w:rFonts w:cs="Arial"/>
                <w:sz w:val="24"/>
                <w:szCs w:val="24"/>
              </w:rPr>
              <w:t>Leasing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D3" w:rsidRDefault="005568D3">
            <w:pPr>
              <w:rPr>
                <w:rFonts w:cs="Arial"/>
                <w:sz w:val="24"/>
                <w:szCs w:val="24"/>
                <w:lang w:val="en-US"/>
              </w:rPr>
            </w:pPr>
            <w:r>
              <w:rPr>
                <w:rFonts w:cs="Arial"/>
                <w:sz w:val="24"/>
                <w:szCs w:val="24"/>
              </w:rPr>
              <w:t>40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D3" w:rsidRDefault="005568D3">
            <w:pPr>
              <w:rPr>
                <w:rFonts w:cs="Arial"/>
                <w:sz w:val="24"/>
                <w:szCs w:val="24"/>
                <w:lang w:val="en-US"/>
              </w:rPr>
            </w:pPr>
            <w:proofErr w:type="spellStart"/>
            <w:r>
              <w:rPr>
                <w:rFonts w:cs="Arial"/>
                <w:sz w:val="24"/>
                <w:szCs w:val="24"/>
              </w:rPr>
              <w:t>Moneenroe</w:t>
            </w:r>
            <w:proofErr w:type="spellEnd"/>
            <w:r>
              <w:rPr>
                <w:rFonts w:cs="Arial"/>
                <w:sz w:val="24"/>
                <w:szCs w:val="24"/>
              </w:rPr>
              <w:t xml:space="preserve">, </w:t>
            </w:r>
            <w:proofErr w:type="spellStart"/>
            <w:r>
              <w:rPr>
                <w:rFonts w:cs="Arial"/>
                <w:sz w:val="24"/>
                <w:szCs w:val="24"/>
              </w:rPr>
              <w:t>Urlingford</w:t>
            </w:r>
            <w:proofErr w:type="spellEnd"/>
            <w:r>
              <w:rPr>
                <w:rFonts w:cs="Arial"/>
                <w:sz w:val="24"/>
                <w:szCs w:val="24"/>
              </w:rPr>
              <w:t xml:space="preserve">, </w:t>
            </w:r>
            <w:proofErr w:type="spellStart"/>
            <w:r>
              <w:rPr>
                <w:rFonts w:cs="Arial"/>
                <w:sz w:val="24"/>
                <w:szCs w:val="24"/>
              </w:rPr>
              <w:t>Rosbercon</w:t>
            </w:r>
            <w:proofErr w:type="spellEnd"/>
            <w:r>
              <w:rPr>
                <w:rFonts w:cs="Arial"/>
                <w:sz w:val="24"/>
                <w:szCs w:val="24"/>
              </w:rPr>
              <w:t xml:space="preserve">, </w:t>
            </w:r>
            <w:proofErr w:type="spellStart"/>
            <w:r>
              <w:rPr>
                <w:rFonts w:cs="Arial"/>
                <w:sz w:val="24"/>
                <w:szCs w:val="24"/>
              </w:rPr>
              <w:t>Gowran</w:t>
            </w:r>
            <w:proofErr w:type="spellEnd"/>
            <w:r>
              <w:rPr>
                <w:rFonts w:cs="Arial"/>
                <w:sz w:val="24"/>
                <w:szCs w:val="24"/>
              </w:rPr>
              <w:t xml:space="preserve">, </w:t>
            </w:r>
            <w:proofErr w:type="spellStart"/>
            <w:r>
              <w:rPr>
                <w:rFonts w:cs="Arial"/>
                <w:sz w:val="24"/>
                <w:szCs w:val="24"/>
              </w:rPr>
              <w:t>Ferrybank</w:t>
            </w:r>
            <w:proofErr w:type="spellEnd"/>
          </w:p>
          <w:p w:rsidR="005568D3" w:rsidRDefault="005568D3">
            <w:pPr>
              <w:rPr>
                <w:rFonts w:cs="Arial"/>
                <w:sz w:val="24"/>
                <w:szCs w:val="24"/>
                <w:lang w:val="en-US"/>
              </w:rPr>
            </w:pPr>
          </w:p>
        </w:tc>
      </w:tr>
      <w:tr w:rsidR="005568D3" w:rsidTr="005568D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D3" w:rsidRDefault="005568D3">
            <w:pPr>
              <w:rPr>
                <w:rFonts w:cs="Arial"/>
                <w:sz w:val="24"/>
                <w:szCs w:val="24"/>
                <w:lang w:val="en-US"/>
              </w:rPr>
            </w:pPr>
            <w:r>
              <w:rPr>
                <w:rFonts w:cs="Arial"/>
                <w:sz w:val="24"/>
                <w:szCs w:val="24"/>
              </w:rPr>
              <w:t>HAP Tenancies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D3" w:rsidRDefault="005568D3">
            <w:pPr>
              <w:rPr>
                <w:rFonts w:cs="Arial"/>
                <w:sz w:val="24"/>
                <w:szCs w:val="24"/>
                <w:lang w:val="en-US"/>
              </w:rPr>
            </w:pPr>
            <w:r>
              <w:rPr>
                <w:rFonts w:cs="Arial"/>
                <w:sz w:val="24"/>
                <w:szCs w:val="24"/>
              </w:rPr>
              <w:t>271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D3" w:rsidRDefault="005568D3">
            <w:pPr>
              <w:rPr>
                <w:rFonts w:cs="Arial"/>
                <w:sz w:val="24"/>
                <w:szCs w:val="24"/>
                <w:lang w:val="en-US"/>
              </w:rPr>
            </w:pPr>
            <w:r>
              <w:rPr>
                <w:rFonts w:cs="Arial"/>
                <w:sz w:val="24"/>
                <w:szCs w:val="24"/>
              </w:rPr>
              <w:t xml:space="preserve">County Wide </w:t>
            </w:r>
          </w:p>
        </w:tc>
      </w:tr>
      <w:tr w:rsidR="005568D3" w:rsidTr="005568D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D3" w:rsidRDefault="005568D3">
            <w:pPr>
              <w:rPr>
                <w:rFonts w:cs="Arial"/>
                <w:sz w:val="24"/>
                <w:szCs w:val="24"/>
                <w:lang w:val="en-US"/>
              </w:rPr>
            </w:pPr>
            <w:r>
              <w:rPr>
                <w:rFonts w:cs="Arial"/>
                <w:sz w:val="24"/>
                <w:szCs w:val="24"/>
              </w:rPr>
              <w:t>Targeted Areas by LA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D3" w:rsidRDefault="005568D3">
            <w:pPr>
              <w:rPr>
                <w:rFonts w:cs="Arial"/>
                <w:sz w:val="24"/>
                <w:szCs w:val="24"/>
                <w:lang w:val="en-US"/>
              </w:rPr>
            </w:pPr>
            <w:r>
              <w:rPr>
                <w:rFonts w:cs="Arial"/>
                <w:sz w:val="24"/>
                <w:szCs w:val="24"/>
              </w:rPr>
              <w:t>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D3" w:rsidRDefault="005568D3" w:rsidP="005568D3">
            <w:pPr>
              <w:rPr>
                <w:rFonts w:cs="Arial"/>
                <w:sz w:val="24"/>
                <w:szCs w:val="24"/>
                <w:lang w:val="en-US"/>
              </w:rPr>
            </w:pPr>
            <w:r>
              <w:rPr>
                <w:rFonts w:cs="Arial"/>
                <w:sz w:val="24"/>
                <w:szCs w:val="24"/>
              </w:rPr>
              <w:t>LA- targeted inspections in Kilkenny City and Ferrybank</w:t>
            </w:r>
          </w:p>
        </w:tc>
      </w:tr>
      <w:tr w:rsidR="005568D3" w:rsidTr="005568D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D3" w:rsidRDefault="005568D3">
            <w:pPr>
              <w:rPr>
                <w:rFonts w:cs="Arial"/>
                <w:sz w:val="24"/>
                <w:szCs w:val="24"/>
                <w:lang w:val="en-US"/>
              </w:rPr>
            </w:pPr>
            <w:r>
              <w:rPr>
                <w:rFonts w:cs="Arial"/>
                <w:sz w:val="24"/>
                <w:szCs w:val="24"/>
              </w:rPr>
              <w:t xml:space="preserve">Referrals: CWO/LA  or Complaints </w:t>
            </w:r>
          </w:p>
          <w:p w:rsidR="005568D3" w:rsidRDefault="005568D3">
            <w:pPr>
              <w:rPr>
                <w:rFonts w:cs="Arial"/>
                <w:sz w:val="24"/>
                <w:szCs w:val="24"/>
                <w:lang w:val="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D3" w:rsidRDefault="005568D3">
            <w:pPr>
              <w:rPr>
                <w:rFonts w:cs="Arial"/>
                <w:sz w:val="24"/>
                <w:szCs w:val="24"/>
                <w:lang w:val="en-US"/>
              </w:rPr>
            </w:pPr>
            <w:r>
              <w:rPr>
                <w:rFonts w:cs="Arial"/>
                <w:sz w:val="24"/>
                <w:szCs w:val="24"/>
              </w:rPr>
              <w:t>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D3" w:rsidRDefault="005568D3">
            <w:pPr>
              <w:rPr>
                <w:rFonts w:cs="Arial"/>
                <w:sz w:val="24"/>
                <w:szCs w:val="24"/>
                <w:lang w:val="en-US"/>
              </w:rPr>
            </w:pPr>
            <w:r>
              <w:rPr>
                <w:rFonts w:cs="Arial"/>
                <w:sz w:val="24"/>
                <w:szCs w:val="24"/>
              </w:rPr>
              <w:t>County Wide</w:t>
            </w:r>
          </w:p>
          <w:p w:rsidR="005568D3" w:rsidRDefault="005568D3">
            <w:pPr>
              <w:rPr>
                <w:rFonts w:cs="Arial"/>
                <w:sz w:val="24"/>
                <w:szCs w:val="24"/>
                <w:lang w:val="en-US"/>
              </w:rPr>
            </w:pPr>
          </w:p>
        </w:tc>
      </w:tr>
      <w:tr w:rsidR="005568D3" w:rsidTr="005568D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D3" w:rsidRDefault="005568D3">
            <w:pPr>
              <w:rPr>
                <w:rFonts w:cs="Arial"/>
                <w:sz w:val="24"/>
                <w:szCs w:val="24"/>
                <w:lang w:val="en-US"/>
              </w:rPr>
            </w:pPr>
            <w:r>
              <w:rPr>
                <w:rFonts w:cs="Arial"/>
                <w:sz w:val="24"/>
                <w:szCs w:val="24"/>
              </w:rPr>
              <w:t>Follow Up Calls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D3" w:rsidRDefault="005568D3">
            <w:pPr>
              <w:rPr>
                <w:rFonts w:cs="Arial"/>
                <w:sz w:val="24"/>
                <w:szCs w:val="24"/>
                <w:lang w:val="en-US"/>
              </w:rPr>
            </w:pPr>
            <w:r>
              <w:rPr>
                <w:rFonts w:cs="Arial"/>
                <w:sz w:val="24"/>
                <w:szCs w:val="24"/>
              </w:rPr>
              <w:t>381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D3" w:rsidRDefault="005568D3">
            <w:pPr>
              <w:rPr>
                <w:rFonts w:cs="Arial"/>
                <w:sz w:val="24"/>
                <w:szCs w:val="24"/>
                <w:lang w:val="en-US"/>
              </w:rPr>
            </w:pPr>
            <w:r>
              <w:rPr>
                <w:rFonts w:cs="Arial"/>
                <w:sz w:val="24"/>
                <w:szCs w:val="24"/>
              </w:rPr>
              <w:t>County Wide</w:t>
            </w:r>
          </w:p>
          <w:p w:rsidR="005568D3" w:rsidRDefault="005568D3">
            <w:pPr>
              <w:rPr>
                <w:rFonts w:cs="Arial"/>
                <w:sz w:val="24"/>
                <w:szCs w:val="24"/>
                <w:lang w:val="en-US"/>
              </w:rPr>
            </w:pPr>
          </w:p>
        </w:tc>
      </w:tr>
      <w:tr w:rsidR="005568D3" w:rsidTr="005568D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D3" w:rsidRDefault="005568D3">
            <w:pPr>
              <w:rPr>
                <w:rFonts w:cs="Arial"/>
                <w:b/>
                <w:sz w:val="24"/>
                <w:szCs w:val="24"/>
                <w:lang w:val="en-US"/>
              </w:rPr>
            </w:pPr>
            <w:r>
              <w:rPr>
                <w:rFonts w:cs="Arial"/>
                <w:b/>
                <w:sz w:val="24"/>
                <w:szCs w:val="24"/>
              </w:rPr>
              <w:t>Total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D3" w:rsidRDefault="005568D3">
            <w:pPr>
              <w:rPr>
                <w:rFonts w:cs="Arial"/>
                <w:b/>
                <w:sz w:val="24"/>
                <w:szCs w:val="24"/>
                <w:lang w:val="en-US"/>
              </w:rPr>
            </w:pPr>
            <w:r>
              <w:rPr>
                <w:rFonts w:cs="Arial"/>
                <w:b/>
                <w:sz w:val="24"/>
                <w:szCs w:val="24"/>
              </w:rPr>
              <w:t>852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D3" w:rsidRDefault="005568D3">
            <w:pPr>
              <w:rPr>
                <w:rFonts w:cs="Arial"/>
                <w:b/>
                <w:sz w:val="24"/>
                <w:szCs w:val="24"/>
                <w:lang w:val="en-US"/>
              </w:rPr>
            </w:pPr>
          </w:p>
        </w:tc>
      </w:tr>
    </w:tbl>
    <w:p w:rsidR="005568D3" w:rsidRDefault="005568D3" w:rsidP="005568D3">
      <w:pPr>
        <w:rPr>
          <w:rFonts w:cs="Arial"/>
          <w:sz w:val="24"/>
          <w:szCs w:val="24"/>
          <w:lang w:val="en-US"/>
        </w:rPr>
      </w:pPr>
    </w:p>
    <w:p w:rsidR="005568D3" w:rsidRDefault="005568D3" w:rsidP="005568D3">
      <w:pPr>
        <w:rPr>
          <w:rFonts w:cs="Arial"/>
          <w:b/>
          <w:sz w:val="24"/>
          <w:szCs w:val="24"/>
        </w:rPr>
      </w:pPr>
      <w:r>
        <w:rPr>
          <w:rFonts w:cs="Arial"/>
          <w:sz w:val="24"/>
          <w:szCs w:val="24"/>
        </w:rPr>
        <w:t xml:space="preserve">The Council will use the PRTB register for Kilkenny as the basis for our stock of properties to be inspected i.e. </w:t>
      </w:r>
      <w:r>
        <w:rPr>
          <w:rFonts w:cs="Arial"/>
          <w:b/>
          <w:sz w:val="24"/>
          <w:szCs w:val="24"/>
        </w:rPr>
        <w:t>4,296.</w:t>
      </w:r>
    </w:p>
    <w:p w:rsidR="005568D3" w:rsidRDefault="005568D3" w:rsidP="005568D3">
      <w:pPr>
        <w:rPr>
          <w:rFonts w:cs="Arial"/>
          <w:sz w:val="24"/>
          <w:szCs w:val="24"/>
        </w:rPr>
      </w:pPr>
      <w:r>
        <w:rPr>
          <w:rFonts w:cs="Arial"/>
          <w:sz w:val="24"/>
          <w:szCs w:val="24"/>
        </w:rPr>
        <w:t xml:space="preserve"> The number of inspections as a percentage of registered tenancies is </w:t>
      </w:r>
      <w:r>
        <w:rPr>
          <w:rFonts w:cs="Arial"/>
          <w:b/>
          <w:sz w:val="24"/>
          <w:szCs w:val="24"/>
        </w:rPr>
        <w:t xml:space="preserve">11% </w:t>
      </w:r>
      <w:r>
        <w:rPr>
          <w:rFonts w:cs="Arial"/>
          <w:sz w:val="24"/>
          <w:szCs w:val="24"/>
        </w:rPr>
        <w:t>i.e. 471 inspections of 4,296 tenancies (does not include follow up inspections)</w:t>
      </w:r>
    </w:p>
    <w:p w:rsidR="005568D3" w:rsidRDefault="005568D3" w:rsidP="005568D3">
      <w:pPr>
        <w:rPr>
          <w:rFonts w:cs="Arial"/>
          <w:b/>
          <w:sz w:val="24"/>
          <w:szCs w:val="24"/>
        </w:rPr>
      </w:pPr>
    </w:p>
    <w:p w:rsidR="005568D3" w:rsidRDefault="005568D3" w:rsidP="005568D3">
      <w:pPr>
        <w:rPr>
          <w:rFonts w:cs="Arial"/>
          <w:b/>
          <w:sz w:val="24"/>
          <w:szCs w:val="24"/>
        </w:rPr>
      </w:pPr>
      <w:r>
        <w:rPr>
          <w:rFonts w:cs="Arial"/>
          <w:b/>
          <w:sz w:val="24"/>
          <w:szCs w:val="24"/>
        </w:rPr>
        <w:t>Breakdown of Inspections:</w:t>
      </w:r>
    </w:p>
    <w:p w:rsidR="005568D3" w:rsidRDefault="005568D3" w:rsidP="005568D3">
      <w:pPr>
        <w:pStyle w:val="ListParagraph"/>
        <w:numPr>
          <w:ilvl w:val="0"/>
          <w:numId w:val="10"/>
        </w:numPr>
        <w:rPr>
          <w:rFonts w:cs="Arial"/>
          <w:sz w:val="24"/>
          <w:szCs w:val="24"/>
        </w:rPr>
      </w:pPr>
      <w:r>
        <w:rPr>
          <w:rFonts w:cs="Arial"/>
          <w:sz w:val="24"/>
          <w:szCs w:val="24"/>
        </w:rPr>
        <w:t>Targeted Inspections</w:t>
      </w:r>
      <w:r>
        <w:rPr>
          <w:rFonts w:cs="Arial"/>
          <w:sz w:val="24"/>
          <w:szCs w:val="24"/>
        </w:rPr>
        <w:tab/>
      </w:r>
      <w:r>
        <w:rPr>
          <w:rFonts w:cs="Arial"/>
          <w:sz w:val="24"/>
          <w:szCs w:val="24"/>
        </w:rPr>
        <w:tab/>
      </w:r>
      <w:r>
        <w:rPr>
          <w:rFonts w:cs="Arial"/>
          <w:sz w:val="24"/>
          <w:szCs w:val="24"/>
          <w:bdr w:val="single" w:sz="4" w:space="0" w:color="auto" w:frame="1"/>
        </w:rPr>
        <w:t>50</w:t>
      </w:r>
    </w:p>
    <w:p w:rsidR="005568D3" w:rsidRDefault="005568D3" w:rsidP="005568D3">
      <w:pPr>
        <w:pStyle w:val="ListParagraph"/>
        <w:rPr>
          <w:rFonts w:cs="Arial"/>
          <w:sz w:val="24"/>
          <w:szCs w:val="24"/>
        </w:rPr>
      </w:pPr>
    </w:p>
    <w:p w:rsidR="005568D3" w:rsidRDefault="005568D3" w:rsidP="005568D3">
      <w:pPr>
        <w:pStyle w:val="ListParagraph"/>
        <w:numPr>
          <w:ilvl w:val="0"/>
          <w:numId w:val="10"/>
        </w:numPr>
        <w:spacing w:after="0"/>
        <w:rPr>
          <w:rFonts w:cs="Arial"/>
          <w:sz w:val="24"/>
          <w:szCs w:val="24"/>
        </w:rPr>
      </w:pPr>
      <w:r>
        <w:rPr>
          <w:rFonts w:cs="Arial"/>
          <w:sz w:val="24"/>
          <w:szCs w:val="24"/>
        </w:rPr>
        <w:t xml:space="preserve">Follow </w:t>
      </w:r>
      <w:r>
        <w:rPr>
          <w:rFonts w:cs="Arial"/>
          <w:sz w:val="24"/>
          <w:szCs w:val="24"/>
        </w:rPr>
        <w:tab/>
        <w:t xml:space="preserve">Up Inspections </w:t>
      </w:r>
      <w:r>
        <w:rPr>
          <w:rFonts w:cs="Arial"/>
          <w:sz w:val="24"/>
          <w:szCs w:val="24"/>
        </w:rPr>
        <w:tab/>
      </w:r>
      <w:r>
        <w:rPr>
          <w:rFonts w:cs="Arial"/>
          <w:sz w:val="24"/>
          <w:szCs w:val="24"/>
          <w:bdr w:val="single" w:sz="4" w:space="0" w:color="auto" w:frame="1"/>
        </w:rPr>
        <w:t>381</w:t>
      </w:r>
    </w:p>
    <w:p w:rsidR="005568D3" w:rsidRDefault="005568D3" w:rsidP="005568D3">
      <w:pPr>
        <w:pStyle w:val="ListParagraph"/>
        <w:spacing w:after="0"/>
        <w:rPr>
          <w:rFonts w:cs="Arial"/>
          <w:sz w:val="24"/>
          <w:szCs w:val="24"/>
        </w:rPr>
      </w:pPr>
    </w:p>
    <w:p w:rsidR="005568D3" w:rsidRDefault="005568D3" w:rsidP="005568D3">
      <w:pPr>
        <w:pStyle w:val="ListParagraph"/>
        <w:numPr>
          <w:ilvl w:val="0"/>
          <w:numId w:val="10"/>
        </w:numPr>
        <w:spacing w:after="0"/>
        <w:rPr>
          <w:rFonts w:cs="Arial"/>
          <w:sz w:val="24"/>
          <w:szCs w:val="24"/>
        </w:rPr>
      </w:pPr>
      <w:r>
        <w:rPr>
          <w:rFonts w:cs="Arial"/>
          <w:sz w:val="24"/>
          <w:szCs w:val="24"/>
        </w:rPr>
        <w:t>Response to Complaints</w:t>
      </w:r>
      <w:r>
        <w:rPr>
          <w:rFonts w:cs="Arial"/>
          <w:sz w:val="24"/>
          <w:szCs w:val="24"/>
        </w:rPr>
        <w:tab/>
      </w:r>
      <w:r>
        <w:rPr>
          <w:rFonts w:cs="Arial"/>
          <w:sz w:val="24"/>
          <w:szCs w:val="24"/>
          <w:bdr w:val="single" w:sz="4" w:space="0" w:color="auto" w:frame="1"/>
        </w:rPr>
        <w:t>10</w:t>
      </w:r>
    </w:p>
    <w:p w:rsidR="005568D3" w:rsidRDefault="005568D3" w:rsidP="005568D3">
      <w:pPr>
        <w:pStyle w:val="ListParagraph"/>
        <w:rPr>
          <w:rFonts w:cs="Arial"/>
          <w:sz w:val="24"/>
          <w:szCs w:val="24"/>
        </w:rPr>
      </w:pPr>
    </w:p>
    <w:p w:rsidR="005568D3" w:rsidRDefault="005568D3" w:rsidP="005568D3">
      <w:pPr>
        <w:pStyle w:val="ListParagraph"/>
        <w:numPr>
          <w:ilvl w:val="0"/>
          <w:numId w:val="10"/>
        </w:numPr>
        <w:rPr>
          <w:rFonts w:cs="Arial"/>
          <w:sz w:val="24"/>
          <w:szCs w:val="24"/>
        </w:rPr>
      </w:pPr>
      <w:r>
        <w:rPr>
          <w:rFonts w:cs="Arial"/>
          <w:sz w:val="24"/>
          <w:szCs w:val="24"/>
        </w:rPr>
        <w:t>RAS</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bdr w:val="single" w:sz="4" w:space="0" w:color="auto" w:frame="1"/>
        </w:rPr>
        <w:t>100</w:t>
      </w:r>
    </w:p>
    <w:p w:rsidR="005568D3" w:rsidRDefault="005568D3" w:rsidP="005568D3">
      <w:pPr>
        <w:pStyle w:val="ListParagraph"/>
        <w:rPr>
          <w:rFonts w:cs="Arial"/>
          <w:sz w:val="24"/>
          <w:szCs w:val="24"/>
        </w:rPr>
      </w:pPr>
    </w:p>
    <w:p w:rsidR="005568D3" w:rsidRDefault="005568D3" w:rsidP="005568D3">
      <w:pPr>
        <w:pStyle w:val="ListParagraph"/>
        <w:numPr>
          <w:ilvl w:val="0"/>
          <w:numId w:val="10"/>
        </w:numPr>
        <w:rPr>
          <w:rFonts w:cs="Arial"/>
          <w:sz w:val="24"/>
          <w:szCs w:val="24"/>
        </w:rPr>
      </w:pPr>
      <w:r>
        <w:rPr>
          <w:rFonts w:cs="Arial"/>
          <w:sz w:val="24"/>
          <w:szCs w:val="24"/>
        </w:rPr>
        <w:t>Leasing</w:t>
      </w:r>
      <w:r>
        <w:rPr>
          <w:rFonts w:cs="Arial"/>
          <w:sz w:val="24"/>
          <w:szCs w:val="24"/>
        </w:rPr>
        <w:tab/>
      </w:r>
      <w:r>
        <w:rPr>
          <w:rFonts w:cs="Arial"/>
          <w:sz w:val="24"/>
          <w:szCs w:val="24"/>
        </w:rPr>
        <w:tab/>
      </w:r>
      <w:r>
        <w:rPr>
          <w:rFonts w:cs="Arial"/>
          <w:sz w:val="24"/>
          <w:szCs w:val="24"/>
        </w:rPr>
        <w:tab/>
      </w:r>
      <w:r>
        <w:rPr>
          <w:rFonts w:cs="Arial"/>
          <w:sz w:val="24"/>
          <w:szCs w:val="24"/>
          <w:bdr w:val="single" w:sz="4" w:space="0" w:color="auto" w:frame="1"/>
        </w:rPr>
        <w:t>40</w:t>
      </w:r>
    </w:p>
    <w:p w:rsidR="005568D3" w:rsidRDefault="005568D3" w:rsidP="005568D3">
      <w:pPr>
        <w:rPr>
          <w:rFonts w:cs="Arial"/>
          <w:sz w:val="24"/>
          <w:szCs w:val="24"/>
        </w:rPr>
      </w:pPr>
    </w:p>
    <w:p w:rsidR="005568D3" w:rsidRDefault="005568D3" w:rsidP="005568D3">
      <w:pPr>
        <w:pStyle w:val="ListParagraph"/>
        <w:numPr>
          <w:ilvl w:val="0"/>
          <w:numId w:val="10"/>
        </w:numPr>
        <w:rPr>
          <w:rFonts w:cs="Arial"/>
          <w:sz w:val="24"/>
          <w:szCs w:val="24"/>
        </w:rPr>
      </w:pPr>
      <w:r>
        <w:rPr>
          <w:rFonts w:cs="Arial"/>
          <w:sz w:val="24"/>
          <w:szCs w:val="24"/>
        </w:rPr>
        <w:t>HAP</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bdr w:val="single" w:sz="4" w:space="0" w:color="auto" w:frame="1"/>
        </w:rPr>
        <w:t>271</w:t>
      </w:r>
    </w:p>
    <w:p w:rsidR="005568D3" w:rsidRDefault="005568D3" w:rsidP="005568D3">
      <w:pPr>
        <w:pStyle w:val="ListParagraph"/>
        <w:rPr>
          <w:rFonts w:cs="Arial"/>
          <w:sz w:val="24"/>
          <w:szCs w:val="24"/>
        </w:rPr>
      </w:pPr>
    </w:p>
    <w:p w:rsidR="000E3BC0" w:rsidRPr="000B0989" w:rsidRDefault="005568D3" w:rsidP="005568D3">
      <w:pPr>
        <w:pStyle w:val="ListParagraph"/>
        <w:numPr>
          <w:ilvl w:val="0"/>
          <w:numId w:val="10"/>
        </w:numPr>
        <w:tabs>
          <w:tab w:val="left" w:pos="3615"/>
        </w:tabs>
        <w:spacing w:after="0"/>
        <w:jc w:val="center"/>
        <w:rPr>
          <w:rFonts w:ascii="Arial" w:hAnsi="Arial" w:cs="Arial"/>
          <w:b/>
        </w:rPr>
      </w:pPr>
      <w:r w:rsidRPr="000B0989">
        <w:rPr>
          <w:rFonts w:cs="Arial"/>
          <w:b/>
          <w:sz w:val="24"/>
          <w:szCs w:val="24"/>
        </w:rPr>
        <w:t>TOTAL</w:t>
      </w:r>
      <w:r w:rsidRPr="000B0989">
        <w:rPr>
          <w:rFonts w:cs="Arial"/>
          <w:b/>
          <w:sz w:val="24"/>
          <w:szCs w:val="24"/>
        </w:rPr>
        <w:tab/>
      </w:r>
      <w:r w:rsidRPr="000B0989">
        <w:rPr>
          <w:rFonts w:cs="Arial"/>
          <w:b/>
          <w:sz w:val="24"/>
          <w:szCs w:val="24"/>
        </w:rPr>
        <w:tab/>
      </w:r>
      <w:r w:rsidRPr="000B0989">
        <w:rPr>
          <w:rFonts w:cs="Arial"/>
          <w:b/>
          <w:sz w:val="24"/>
          <w:szCs w:val="24"/>
        </w:rPr>
        <w:tab/>
      </w:r>
      <w:r w:rsidRPr="000B0989">
        <w:rPr>
          <w:rFonts w:cs="Arial"/>
          <w:b/>
          <w:sz w:val="24"/>
          <w:szCs w:val="24"/>
        </w:rPr>
        <w:tab/>
      </w:r>
      <w:r w:rsidRPr="000B0989">
        <w:rPr>
          <w:rFonts w:cs="Arial"/>
          <w:b/>
          <w:sz w:val="24"/>
          <w:szCs w:val="24"/>
          <w:bdr w:val="single" w:sz="4" w:space="0" w:color="auto" w:frame="1"/>
        </w:rPr>
        <w:t>852</w:t>
      </w:r>
    </w:p>
    <w:sectPr w:rsidR="000E3BC0" w:rsidRPr="000B0989" w:rsidSect="0065793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010" w:rsidRDefault="006B7010" w:rsidP="009B2A1C">
      <w:pPr>
        <w:spacing w:after="0" w:line="240" w:lineRule="auto"/>
      </w:pPr>
      <w:r>
        <w:separator/>
      </w:r>
    </w:p>
  </w:endnote>
  <w:endnote w:type="continuationSeparator" w:id="0">
    <w:p w:rsidR="006B7010" w:rsidRDefault="006B7010" w:rsidP="009B2A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010" w:rsidRDefault="006B7010" w:rsidP="009B2A1C">
      <w:pPr>
        <w:spacing w:after="0" w:line="240" w:lineRule="auto"/>
      </w:pPr>
      <w:r>
        <w:separator/>
      </w:r>
    </w:p>
  </w:footnote>
  <w:footnote w:type="continuationSeparator" w:id="0">
    <w:p w:rsidR="006B7010" w:rsidRDefault="006B7010" w:rsidP="009B2A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7802"/>
    <w:multiLevelType w:val="hybridMultilevel"/>
    <w:tmpl w:val="8E447224"/>
    <w:lvl w:ilvl="0" w:tplc="B92E8A02">
      <w:numFmt w:val="bullet"/>
      <w:lvlText w:val=""/>
      <w:lvlJc w:val="left"/>
      <w:pPr>
        <w:ind w:left="36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BCA47FC"/>
    <w:multiLevelType w:val="hybridMultilevel"/>
    <w:tmpl w:val="35A0CA1A"/>
    <w:lvl w:ilvl="0" w:tplc="18090009">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45436373"/>
    <w:multiLevelType w:val="hybridMultilevel"/>
    <w:tmpl w:val="08C858EE"/>
    <w:lvl w:ilvl="0" w:tplc="B92E8A02">
      <w:numFmt w:val="bullet"/>
      <w:lvlText w:val=""/>
      <w:lvlJc w:val="left"/>
      <w:pPr>
        <w:ind w:left="360" w:hanging="360"/>
      </w:pPr>
      <w:rPr>
        <w:rFonts w:ascii="Times New Roman" w:eastAsiaTheme="minorHAnsi"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48B87C9F"/>
    <w:multiLevelType w:val="hybridMultilevel"/>
    <w:tmpl w:val="F9B2ACAE"/>
    <w:lvl w:ilvl="0" w:tplc="6ECE4336">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F570632"/>
    <w:multiLevelType w:val="hybridMultilevel"/>
    <w:tmpl w:val="ACE09D36"/>
    <w:lvl w:ilvl="0" w:tplc="18090009">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nsid w:val="54254AE5"/>
    <w:multiLevelType w:val="hybridMultilevel"/>
    <w:tmpl w:val="DAC423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D0D0CE9"/>
    <w:multiLevelType w:val="multilevel"/>
    <w:tmpl w:val="1294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781B34"/>
    <w:multiLevelType w:val="hybridMultilevel"/>
    <w:tmpl w:val="82CEA932"/>
    <w:lvl w:ilvl="0" w:tplc="18090009">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7E4F654A"/>
    <w:multiLevelType w:val="hybridMultilevel"/>
    <w:tmpl w:val="11D2F27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7"/>
  </w:num>
  <w:num w:numId="5">
    <w:abstractNumId w:val="4"/>
  </w:num>
  <w:num w:numId="6">
    <w:abstractNumId w:val="3"/>
  </w:num>
  <w:num w:numId="7">
    <w:abstractNumId w:val="1"/>
  </w:num>
  <w:num w:numId="8">
    <w:abstractNumId w:val="8"/>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7C64D3"/>
    <w:rsid w:val="000B0989"/>
    <w:rsid w:val="000E3BC0"/>
    <w:rsid w:val="000F14F2"/>
    <w:rsid w:val="001E5354"/>
    <w:rsid w:val="00226DB5"/>
    <w:rsid w:val="002662FE"/>
    <w:rsid w:val="00266B82"/>
    <w:rsid w:val="00277EA8"/>
    <w:rsid w:val="00281C0F"/>
    <w:rsid w:val="002D4A1A"/>
    <w:rsid w:val="0037546C"/>
    <w:rsid w:val="00385D55"/>
    <w:rsid w:val="003D2E18"/>
    <w:rsid w:val="003D7E71"/>
    <w:rsid w:val="003F6E1E"/>
    <w:rsid w:val="004002B5"/>
    <w:rsid w:val="0042529D"/>
    <w:rsid w:val="00496274"/>
    <w:rsid w:val="004B4E5B"/>
    <w:rsid w:val="004B6254"/>
    <w:rsid w:val="004C51B2"/>
    <w:rsid w:val="004E210E"/>
    <w:rsid w:val="005568D3"/>
    <w:rsid w:val="00563D5A"/>
    <w:rsid w:val="005832A8"/>
    <w:rsid w:val="005B238A"/>
    <w:rsid w:val="006031ED"/>
    <w:rsid w:val="00657939"/>
    <w:rsid w:val="00676C4C"/>
    <w:rsid w:val="006A3B12"/>
    <w:rsid w:val="006B7010"/>
    <w:rsid w:val="006C2F74"/>
    <w:rsid w:val="006D69D6"/>
    <w:rsid w:val="006F1D7B"/>
    <w:rsid w:val="007213C9"/>
    <w:rsid w:val="0074602C"/>
    <w:rsid w:val="00754B44"/>
    <w:rsid w:val="00763808"/>
    <w:rsid w:val="00764069"/>
    <w:rsid w:val="007C64D3"/>
    <w:rsid w:val="007F3A38"/>
    <w:rsid w:val="008319D0"/>
    <w:rsid w:val="00862CFD"/>
    <w:rsid w:val="00864FEC"/>
    <w:rsid w:val="008B068B"/>
    <w:rsid w:val="008B1271"/>
    <w:rsid w:val="008C6699"/>
    <w:rsid w:val="009012A3"/>
    <w:rsid w:val="00922AD9"/>
    <w:rsid w:val="009411C4"/>
    <w:rsid w:val="0099157F"/>
    <w:rsid w:val="009B2A1C"/>
    <w:rsid w:val="00A12ED2"/>
    <w:rsid w:val="00A22B36"/>
    <w:rsid w:val="00A2592D"/>
    <w:rsid w:val="00AB5F73"/>
    <w:rsid w:val="00B62EE9"/>
    <w:rsid w:val="00B63396"/>
    <w:rsid w:val="00B70C7A"/>
    <w:rsid w:val="00B914DB"/>
    <w:rsid w:val="00C277BD"/>
    <w:rsid w:val="00C66382"/>
    <w:rsid w:val="00C90318"/>
    <w:rsid w:val="00D21363"/>
    <w:rsid w:val="00D25AAB"/>
    <w:rsid w:val="00D34372"/>
    <w:rsid w:val="00D75F8C"/>
    <w:rsid w:val="00D8467D"/>
    <w:rsid w:val="00DF16B4"/>
    <w:rsid w:val="00E90802"/>
    <w:rsid w:val="00EF15B6"/>
    <w:rsid w:val="00F64705"/>
    <w:rsid w:val="00F91D78"/>
    <w:rsid w:val="00FB554C"/>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939"/>
  </w:style>
  <w:style w:type="paragraph" w:styleId="Heading3">
    <w:name w:val="heading 3"/>
    <w:basedOn w:val="Normal"/>
    <w:next w:val="Normal"/>
    <w:link w:val="Heading3Char"/>
    <w:uiPriority w:val="9"/>
    <w:unhideWhenUsed/>
    <w:qFormat/>
    <w:rsid w:val="00266B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6E1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66B82"/>
    <w:pPr>
      <w:ind w:left="720"/>
      <w:contextualSpacing/>
    </w:pPr>
  </w:style>
  <w:style w:type="character" w:customStyle="1" w:styleId="Heading3Char">
    <w:name w:val="Heading 3 Char"/>
    <w:basedOn w:val="DefaultParagraphFont"/>
    <w:link w:val="Heading3"/>
    <w:uiPriority w:val="9"/>
    <w:rsid w:val="00266B82"/>
    <w:rPr>
      <w:rFonts w:asciiTheme="majorHAnsi" w:eastAsiaTheme="majorEastAsia" w:hAnsiTheme="majorHAnsi" w:cstheme="majorBidi"/>
      <w:b/>
      <w:bCs/>
      <w:color w:val="4F81BD" w:themeColor="accent1"/>
    </w:rPr>
  </w:style>
  <w:style w:type="table" w:styleId="TableGrid">
    <w:name w:val="Table Grid"/>
    <w:basedOn w:val="TableNormal"/>
    <w:uiPriority w:val="59"/>
    <w:rsid w:val="00E908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B2A1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B2A1C"/>
  </w:style>
  <w:style w:type="paragraph" w:styleId="Footer">
    <w:name w:val="footer"/>
    <w:basedOn w:val="Normal"/>
    <w:link w:val="FooterChar"/>
    <w:uiPriority w:val="99"/>
    <w:semiHidden/>
    <w:unhideWhenUsed/>
    <w:rsid w:val="009B2A1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B2A1C"/>
  </w:style>
  <w:style w:type="character" w:styleId="Hyperlink">
    <w:name w:val="Hyperlink"/>
    <w:basedOn w:val="DefaultParagraphFont"/>
    <w:uiPriority w:val="99"/>
    <w:unhideWhenUsed/>
    <w:rsid w:val="00F91D78"/>
    <w:rPr>
      <w:strike w:val="0"/>
      <w:dstrike w:val="0"/>
      <w:color w:val="008FC5"/>
      <w:u w:val="none"/>
      <w:effect w:val="none"/>
      <w:shd w:val="clear" w:color="auto" w:fill="auto"/>
    </w:rPr>
  </w:style>
  <w:style w:type="paragraph" w:styleId="NormalWeb">
    <w:name w:val="Normal (Web)"/>
    <w:basedOn w:val="Normal"/>
    <w:uiPriority w:val="99"/>
    <w:semiHidden/>
    <w:unhideWhenUsed/>
    <w:rsid w:val="00F91D78"/>
    <w:pPr>
      <w:spacing w:after="150" w:line="240" w:lineRule="auto"/>
    </w:pPr>
    <w:rPr>
      <w:rFonts w:ascii="Times New Roman" w:eastAsia="Times New Roman" w:hAnsi="Times New Roman" w:cs="Times New Roman"/>
      <w:sz w:val="24"/>
      <w:szCs w:val="24"/>
      <w:lang w:eastAsia="en-IE"/>
    </w:rPr>
  </w:style>
</w:styles>
</file>

<file path=word/webSettings.xml><?xml version="1.0" encoding="utf-8"?>
<w:webSettings xmlns:r="http://schemas.openxmlformats.org/officeDocument/2006/relationships" xmlns:w="http://schemas.openxmlformats.org/wordprocessingml/2006/main">
  <w:divs>
    <w:div w:id="324287364">
      <w:bodyDiv w:val="1"/>
      <w:marLeft w:val="0"/>
      <w:marRight w:val="0"/>
      <w:marTop w:val="0"/>
      <w:marBottom w:val="0"/>
      <w:divBdr>
        <w:top w:val="none" w:sz="0" w:space="0" w:color="auto"/>
        <w:left w:val="none" w:sz="0" w:space="0" w:color="auto"/>
        <w:bottom w:val="none" w:sz="0" w:space="0" w:color="auto"/>
        <w:right w:val="none" w:sz="0" w:space="0" w:color="auto"/>
      </w:divBdr>
    </w:div>
    <w:div w:id="487671857">
      <w:bodyDiv w:val="1"/>
      <w:marLeft w:val="0"/>
      <w:marRight w:val="0"/>
      <w:marTop w:val="0"/>
      <w:marBottom w:val="0"/>
      <w:divBdr>
        <w:top w:val="none" w:sz="0" w:space="0" w:color="auto"/>
        <w:left w:val="none" w:sz="0" w:space="0" w:color="auto"/>
        <w:bottom w:val="none" w:sz="0" w:space="0" w:color="auto"/>
        <w:right w:val="none" w:sz="0" w:space="0" w:color="auto"/>
      </w:divBdr>
      <w:divsChild>
        <w:div w:id="1000625369">
          <w:marLeft w:val="0"/>
          <w:marRight w:val="0"/>
          <w:marTop w:val="0"/>
          <w:marBottom w:val="0"/>
          <w:divBdr>
            <w:top w:val="none" w:sz="0" w:space="0" w:color="auto"/>
            <w:left w:val="none" w:sz="0" w:space="0" w:color="auto"/>
            <w:bottom w:val="none" w:sz="0" w:space="0" w:color="auto"/>
            <w:right w:val="none" w:sz="0" w:space="0" w:color="auto"/>
          </w:divBdr>
          <w:divsChild>
            <w:div w:id="1130976003">
              <w:marLeft w:val="-225"/>
              <w:marRight w:val="-225"/>
              <w:marTop w:val="0"/>
              <w:marBottom w:val="0"/>
              <w:divBdr>
                <w:top w:val="none" w:sz="0" w:space="0" w:color="auto"/>
                <w:left w:val="none" w:sz="0" w:space="0" w:color="auto"/>
                <w:bottom w:val="none" w:sz="0" w:space="0" w:color="auto"/>
                <w:right w:val="none" w:sz="0" w:space="0" w:color="auto"/>
              </w:divBdr>
              <w:divsChild>
                <w:div w:id="434906917">
                  <w:marLeft w:val="0"/>
                  <w:marRight w:val="0"/>
                  <w:marTop w:val="0"/>
                  <w:marBottom w:val="0"/>
                  <w:divBdr>
                    <w:top w:val="none" w:sz="0" w:space="0" w:color="auto"/>
                    <w:left w:val="none" w:sz="0" w:space="0" w:color="auto"/>
                    <w:bottom w:val="none" w:sz="0" w:space="0" w:color="auto"/>
                    <w:right w:val="none" w:sz="0" w:space="0" w:color="auto"/>
                  </w:divBdr>
                  <w:divsChild>
                    <w:div w:id="149373664">
                      <w:marLeft w:val="0"/>
                      <w:marRight w:val="0"/>
                      <w:marTop w:val="0"/>
                      <w:marBottom w:val="0"/>
                      <w:divBdr>
                        <w:top w:val="none" w:sz="0" w:space="0" w:color="auto"/>
                        <w:left w:val="none" w:sz="0" w:space="0" w:color="auto"/>
                        <w:bottom w:val="none" w:sz="0" w:space="0" w:color="auto"/>
                        <w:right w:val="none" w:sz="0" w:space="0" w:color="auto"/>
                      </w:divBdr>
                      <w:divsChild>
                        <w:div w:id="2038892354">
                          <w:marLeft w:val="0"/>
                          <w:marRight w:val="0"/>
                          <w:marTop w:val="0"/>
                          <w:marBottom w:val="0"/>
                          <w:divBdr>
                            <w:top w:val="none" w:sz="0" w:space="0" w:color="auto"/>
                            <w:left w:val="none" w:sz="0" w:space="0" w:color="auto"/>
                            <w:bottom w:val="none" w:sz="0" w:space="0" w:color="auto"/>
                            <w:right w:val="none" w:sz="0" w:space="0" w:color="auto"/>
                          </w:divBdr>
                          <w:divsChild>
                            <w:div w:id="740326952">
                              <w:marLeft w:val="-225"/>
                              <w:marRight w:val="-225"/>
                              <w:marTop w:val="0"/>
                              <w:marBottom w:val="0"/>
                              <w:divBdr>
                                <w:top w:val="none" w:sz="0" w:space="0" w:color="auto"/>
                                <w:left w:val="none" w:sz="0" w:space="0" w:color="auto"/>
                                <w:bottom w:val="none" w:sz="0" w:space="0" w:color="auto"/>
                                <w:right w:val="none" w:sz="0" w:space="0" w:color="auto"/>
                              </w:divBdr>
                              <w:divsChild>
                                <w:div w:id="1960603924">
                                  <w:marLeft w:val="0"/>
                                  <w:marRight w:val="0"/>
                                  <w:marTop w:val="0"/>
                                  <w:marBottom w:val="0"/>
                                  <w:divBdr>
                                    <w:top w:val="none" w:sz="0" w:space="0" w:color="auto"/>
                                    <w:left w:val="none" w:sz="0" w:space="0" w:color="auto"/>
                                    <w:bottom w:val="none" w:sz="0" w:space="0" w:color="auto"/>
                                    <w:right w:val="none" w:sz="0" w:space="0" w:color="auto"/>
                                  </w:divBdr>
                                  <w:divsChild>
                                    <w:div w:id="543716747">
                                      <w:marLeft w:val="0"/>
                                      <w:marRight w:val="0"/>
                                      <w:marTop w:val="0"/>
                                      <w:marBottom w:val="0"/>
                                      <w:divBdr>
                                        <w:top w:val="none" w:sz="0" w:space="0" w:color="auto"/>
                                        <w:left w:val="none" w:sz="0" w:space="0" w:color="auto"/>
                                        <w:bottom w:val="none" w:sz="0" w:space="0" w:color="auto"/>
                                        <w:right w:val="none" w:sz="0" w:space="0" w:color="auto"/>
                                      </w:divBdr>
                                      <w:divsChild>
                                        <w:div w:id="762802178">
                                          <w:marLeft w:val="0"/>
                                          <w:marRight w:val="0"/>
                                          <w:marTop w:val="0"/>
                                          <w:marBottom w:val="0"/>
                                          <w:divBdr>
                                            <w:top w:val="none" w:sz="0" w:space="0" w:color="auto"/>
                                            <w:left w:val="none" w:sz="0" w:space="0" w:color="auto"/>
                                            <w:bottom w:val="none" w:sz="0" w:space="0" w:color="auto"/>
                                            <w:right w:val="none" w:sz="0" w:space="0" w:color="auto"/>
                                          </w:divBdr>
                                          <w:divsChild>
                                            <w:div w:id="1548837526">
                                              <w:marLeft w:val="0"/>
                                              <w:marRight w:val="0"/>
                                              <w:marTop w:val="0"/>
                                              <w:marBottom w:val="0"/>
                                              <w:divBdr>
                                                <w:top w:val="none" w:sz="0" w:space="0" w:color="auto"/>
                                                <w:left w:val="none" w:sz="0" w:space="0" w:color="auto"/>
                                                <w:bottom w:val="none" w:sz="0" w:space="0" w:color="auto"/>
                                                <w:right w:val="none" w:sz="0" w:space="0" w:color="auto"/>
                                              </w:divBdr>
                                              <w:divsChild>
                                                <w:div w:id="249318107">
                                                  <w:marLeft w:val="0"/>
                                                  <w:marRight w:val="0"/>
                                                  <w:marTop w:val="0"/>
                                                  <w:marBottom w:val="0"/>
                                                  <w:divBdr>
                                                    <w:top w:val="none" w:sz="0" w:space="0" w:color="auto"/>
                                                    <w:left w:val="none" w:sz="0" w:space="0" w:color="auto"/>
                                                    <w:bottom w:val="none" w:sz="0" w:space="0" w:color="auto"/>
                                                    <w:right w:val="none" w:sz="0" w:space="0" w:color="auto"/>
                                                  </w:divBdr>
                                                  <w:divsChild>
                                                    <w:div w:id="96535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779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ublincity.ie/sites/default/files/content/HousingAndCommunity/Homeowner/Housing%20(Standards%20for%20Rented%20Houses)%20Regulations%20201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tb.ie" TargetMode="External"/><Relationship Id="rId4" Type="http://schemas.openxmlformats.org/officeDocument/2006/relationships/settings" Target="settings.xml"/><Relationship Id="rId9" Type="http://schemas.openxmlformats.org/officeDocument/2006/relationships/hyperlink" Target="http://www.dublincity.ie/sites/default/files/content/Housing/EnvironmentalHealth/EnvironmentalHealth/Documents/TechnicalGuidanceDocu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4FFAB-E361-4FE8-820E-937FD1536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mullally</dc:creator>
  <cp:lastModifiedBy>temp</cp:lastModifiedBy>
  <cp:revision>2</cp:revision>
  <cp:lastPrinted>2015-07-02T15:02:00Z</cp:lastPrinted>
  <dcterms:created xsi:type="dcterms:W3CDTF">2018-03-09T16:55:00Z</dcterms:created>
  <dcterms:modified xsi:type="dcterms:W3CDTF">2018-03-09T16:55:00Z</dcterms:modified>
</cp:coreProperties>
</file>